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452349">
        <w:rPr>
          <w:rFonts w:ascii="Times New Roman" w:hAnsi="Times New Roman"/>
          <w:sz w:val="24"/>
          <w:szCs w:val="24"/>
        </w:rPr>
        <w:t>20111000099</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B44236">
        <w:rPr>
          <w:iCs/>
          <w:sz w:val="24"/>
          <w:szCs w:val="24"/>
        </w:rPr>
        <w:t>__________________</w:t>
      </w:r>
      <w:r w:rsidR="00B47C5E">
        <w:rPr>
          <w:iCs/>
          <w:sz w:val="24"/>
          <w:szCs w:val="24"/>
        </w:rPr>
        <w:t>,</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3B223F">
        <w:rPr>
          <w:color w:val="000000"/>
        </w:rPr>
        <w:t>аты заключения</w:t>
      </w:r>
      <w:proofErr w:type="gramEnd"/>
      <w:r w:rsidR="003B223F">
        <w:rPr>
          <w:color w:val="000000"/>
        </w:rPr>
        <w:t xml:space="preserve"> договора по 30.09</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45234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62AE">
        <w:rPr>
          <w:color w:val="000000"/>
          <w:lang w:val="en-US"/>
        </w:rPr>
        <w:t xml:space="preserve">. </w:t>
      </w:r>
      <w:r w:rsidR="00FB6DE4" w:rsidRPr="00FB6DE4">
        <w:rPr>
          <w:color w:val="000000"/>
          <w:lang w:val="en-US"/>
        </w:rPr>
        <w:t>_______________</w:t>
      </w:r>
      <w:r w:rsidRPr="009D62AE">
        <w:rPr>
          <w:lang w:val="en-US"/>
        </w:rPr>
        <w:t xml:space="preserve">;  </w:t>
      </w:r>
      <w:r w:rsidRPr="009C667E">
        <w:rPr>
          <w:lang w:val="en-US"/>
        </w:rPr>
        <w:t>e</w:t>
      </w:r>
      <w:r w:rsidRPr="009D62AE">
        <w:rPr>
          <w:lang w:val="en-US"/>
        </w:rPr>
        <w:t>-</w:t>
      </w:r>
      <w:r w:rsidRPr="009C667E">
        <w:rPr>
          <w:lang w:val="en-US"/>
        </w:rPr>
        <w:t>mail</w:t>
      </w:r>
      <w:r w:rsidR="00627FC6" w:rsidRPr="009D62AE">
        <w:rPr>
          <w:lang w:val="en-US"/>
        </w:rPr>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Если Поставщик нарушит гарантии (любую одну, несколько или все вместе), указанные в пункте 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момента его заключения  и действует до</w:t>
      </w:r>
      <w:r w:rsidR="00EE2C25">
        <w:t xml:space="preserve"> 31.03.2020</w:t>
      </w:r>
      <w:r w:rsidR="002F3D67">
        <w:t>г., а в части взаиморасчетов - 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ПОСТАВЩИК:</w:t>
            </w:r>
            <w:r w:rsidR="00745E43">
              <w:rPr>
                <w:sz w:val="24"/>
                <w:szCs w:val="24"/>
              </w:rPr>
              <w:t xml:space="preserve">                              </w:t>
            </w:r>
          </w:p>
          <w:p w:rsidR="00745E43" w:rsidRPr="00745E43" w:rsidRDefault="00745E43" w:rsidP="00745E43">
            <w:pPr>
              <w:tabs>
                <w:tab w:val="left" w:pos="921"/>
              </w:tabs>
              <w:rPr>
                <w:sz w:val="24"/>
                <w:szCs w:val="24"/>
              </w:rPr>
            </w:pPr>
          </w:p>
        </w:tc>
        <w:tc>
          <w:tcPr>
            <w:tcW w:w="5386" w:type="dxa"/>
          </w:tcPr>
          <w:p w:rsidR="002D1384" w:rsidRDefault="002D1384">
            <w:pPr>
              <w:jc w:val="center"/>
              <w:rPr>
                <w:sz w:val="24"/>
                <w:szCs w:val="24"/>
              </w:rPr>
            </w:pPr>
            <w:r>
              <w:rPr>
                <w:sz w:val="24"/>
                <w:szCs w:val="24"/>
              </w:rPr>
              <w:t>ПОКУПАТЕЛЬ:</w:t>
            </w:r>
          </w:p>
          <w:p w:rsidR="009D62AE" w:rsidRDefault="009D62AE" w:rsidP="009D62AE">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3B223F" w:rsidRPr="003B223F" w:rsidRDefault="003B223F" w:rsidP="003B223F">
            <w:pPr>
              <w:jc w:val="both"/>
              <w:rPr>
                <w:sz w:val="24"/>
                <w:szCs w:val="24"/>
              </w:rPr>
            </w:pPr>
            <w:r w:rsidRPr="003B223F">
              <w:rPr>
                <w:sz w:val="24"/>
                <w:szCs w:val="24"/>
              </w:rPr>
              <w:t xml:space="preserve">БАНК  -  Филиал «Центральный» Банка ВТБ (ПАО) в </w:t>
            </w:r>
            <w:proofErr w:type="gramStart"/>
            <w:r w:rsidRPr="003B223F">
              <w:rPr>
                <w:sz w:val="24"/>
                <w:szCs w:val="24"/>
              </w:rPr>
              <w:t>г</w:t>
            </w:r>
            <w:proofErr w:type="gramEnd"/>
            <w:r w:rsidRPr="003B223F">
              <w:rPr>
                <w:sz w:val="24"/>
                <w:szCs w:val="24"/>
              </w:rPr>
              <w:t>. Москве</w:t>
            </w:r>
          </w:p>
          <w:p w:rsidR="003B223F" w:rsidRPr="003B223F" w:rsidRDefault="003B223F" w:rsidP="003B223F">
            <w:pPr>
              <w:jc w:val="both"/>
              <w:rPr>
                <w:sz w:val="24"/>
                <w:szCs w:val="24"/>
              </w:rPr>
            </w:pPr>
            <w:proofErr w:type="spellStart"/>
            <w:proofErr w:type="gramStart"/>
            <w:r w:rsidRPr="003B223F">
              <w:rPr>
                <w:sz w:val="24"/>
                <w:szCs w:val="24"/>
              </w:rPr>
              <w:t>р</w:t>
            </w:r>
            <w:proofErr w:type="spellEnd"/>
            <w:proofErr w:type="gramEnd"/>
            <w:r w:rsidRPr="003B223F">
              <w:rPr>
                <w:sz w:val="24"/>
                <w:szCs w:val="24"/>
              </w:rPr>
              <w:t>/с  – 40703810115200007997</w:t>
            </w:r>
          </w:p>
          <w:p w:rsidR="003B223F" w:rsidRPr="003B223F" w:rsidRDefault="003B223F" w:rsidP="003B223F">
            <w:pPr>
              <w:jc w:val="both"/>
              <w:rPr>
                <w:sz w:val="24"/>
                <w:szCs w:val="24"/>
              </w:rPr>
            </w:pPr>
            <w:proofErr w:type="gramStart"/>
            <w:r w:rsidRPr="003B223F">
              <w:rPr>
                <w:sz w:val="24"/>
                <w:szCs w:val="24"/>
              </w:rPr>
              <w:t>к</w:t>
            </w:r>
            <w:proofErr w:type="gramEnd"/>
            <w:r w:rsidRPr="003B223F">
              <w:rPr>
                <w:sz w:val="24"/>
                <w:szCs w:val="24"/>
              </w:rPr>
              <w:t xml:space="preserve">/счет  - 30101810145250000411  </w:t>
            </w:r>
          </w:p>
          <w:p w:rsidR="003B223F" w:rsidRPr="003B223F" w:rsidRDefault="003B223F" w:rsidP="003B223F">
            <w:pPr>
              <w:jc w:val="both"/>
              <w:rPr>
                <w:sz w:val="24"/>
                <w:szCs w:val="24"/>
              </w:rPr>
            </w:pPr>
            <w:r w:rsidRPr="003B223F">
              <w:rPr>
                <w:sz w:val="24"/>
                <w:szCs w:val="24"/>
              </w:rPr>
              <w:t>в Главном управлении Банка России по Центральному</w:t>
            </w:r>
          </w:p>
          <w:p w:rsidR="003B223F" w:rsidRPr="003B223F" w:rsidRDefault="003B223F" w:rsidP="003B223F">
            <w:pPr>
              <w:jc w:val="both"/>
              <w:rPr>
                <w:sz w:val="24"/>
                <w:szCs w:val="24"/>
              </w:rPr>
            </w:pPr>
            <w:r w:rsidRPr="003B223F">
              <w:rPr>
                <w:sz w:val="24"/>
                <w:szCs w:val="24"/>
              </w:rPr>
              <w:t xml:space="preserve">федеральному округу </w:t>
            </w:r>
            <w:proofErr w:type="gramStart"/>
            <w:r w:rsidRPr="003B223F">
              <w:rPr>
                <w:sz w:val="24"/>
                <w:szCs w:val="24"/>
              </w:rPr>
              <w:t>г</w:t>
            </w:r>
            <w:proofErr w:type="gramEnd"/>
            <w:r w:rsidRPr="003B223F">
              <w:rPr>
                <w:sz w:val="24"/>
                <w:szCs w:val="24"/>
              </w:rPr>
              <w:t>. Москва</w:t>
            </w:r>
          </w:p>
          <w:p w:rsidR="002D1384" w:rsidRDefault="003B223F" w:rsidP="003B223F">
            <w:pPr>
              <w:jc w:val="both"/>
              <w:rPr>
                <w:sz w:val="24"/>
                <w:szCs w:val="24"/>
              </w:rPr>
            </w:pPr>
            <w:r w:rsidRPr="003B223F">
              <w:rPr>
                <w:sz w:val="24"/>
                <w:szCs w:val="24"/>
              </w:rPr>
              <w:t>БИК 044525411</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FB6DE4" w:rsidP="00C81F7E">
            <w:pPr>
              <w:jc w:val="both"/>
              <w:rPr>
                <w:b/>
                <w:bCs/>
                <w:sz w:val="24"/>
                <w:szCs w:val="24"/>
              </w:rPr>
            </w:pP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FB6DE4">
              <w:rPr>
                <w:bCs/>
                <w:sz w:val="24"/>
                <w:szCs w:val="24"/>
              </w:rPr>
              <w:t>_________</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9D62AE" w:rsidRDefault="002D1384" w:rsidP="009D62AE">
            <w:pPr>
              <w:jc w:val="both"/>
              <w:rPr>
                <w:b/>
                <w:color w:val="000000"/>
              </w:rPr>
            </w:pPr>
            <w:r>
              <w:rPr>
                <w:sz w:val="24"/>
                <w:szCs w:val="24"/>
              </w:rPr>
              <w:t xml:space="preserve">Главный врач </w:t>
            </w:r>
            <w:r w:rsidR="009D62AE">
              <w:rPr>
                <w:b/>
                <w:color w:val="000000"/>
              </w:rPr>
              <w:t>ЧУЗ «КБ «</w:t>
            </w:r>
            <w:proofErr w:type="spellStart"/>
            <w:r w:rsidR="009D62AE">
              <w:rPr>
                <w:b/>
                <w:color w:val="000000"/>
              </w:rPr>
              <w:t>РЖД-Медицина</w:t>
            </w:r>
            <w:proofErr w:type="spellEnd"/>
            <w:r w:rsidR="009D62AE">
              <w:rPr>
                <w:b/>
                <w:color w:val="000000"/>
              </w:rPr>
              <w:t>» г. Астрахань»</w:t>
            </w: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Pr>
                <w:sz w:val="24"/>
                <w:szCs w:val="24"/>
              </w:rPr>
              <w:t>В.А.Бондарев</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AC1736" w:rsidRDefault="00AC173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согласно заявок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10372F"/>
    <w:rsid w:val="001310AD"/>
    <w:rsid w:val="001537E8"/>
    <w:rsid w:val="00191455"/>
    <w:rsid w:val="0020095B"/>
    <w:rsid w:val="002407AB"/>
    <w:rsid w:val="00244CF1"/>
    <w:rsid w:val="002930B1"/>
    <w:rsid w:val="002D1384"/>
    <w:rsid w:val="002F3D67"/>
    <w:rsid w:val="002F70E1"/>
    <w:rsid w:val="003B223F"/>
    <w:rsid w:val="003C0E50"/>
    <w:rsid w:val="00415CA0"/>
    <w:rsid w:val="00452349"/>
    <w:rsid w:val="00461AD0"/>
    <w:rsid w:val="005052B7"/>
    <w:rsid w:val="005102EA"/>
    <w:rsid w:val="00546A05"/>
    <w:rsid w:val="005A620F"/>
    <w:rsid w:val="005B7E04"/>
    <w:rsid w:val="005F2423"/>
    <w:rsid w:val="00627FC6"/>
    <w:rsid w:val="00677B05"/>
    <w:rsid w:val="0068574E"/>
    <w:rsid w:val="00692E9B"/>
    <w:rsid w:val="006B7366"/>
    <w:rsid w:val="006C215B"/>
    <w:rsid w:val="006D2CAA"/>
    <w:rsid w:val="0071648E"/>
    <w:rsid w:val="00717211"/>
    <w:rsid w:val="00745E43"/>
    <w:rsid w:val="00767008"/>
    <w:rsid w:val="00796BD8"/>
    <w:rsid w:val="00822F36"/>
    <w:rsid w:val="0085360E"/>
    <w:rsid w:val="008642D5"/>
    <w:rsid w:val="008C129C"/>
    <w:rsid w:val="0091111A"/>
    <w:rsid w:val="00936C9A"/>
    <w:rsid w:val="00946E80"/>
    <w:rsid w:val="00974140"/>
    <w:rsid w:val="009768DB"/>
    <w:rsid w:val="009A3F9F"/>
    <w:rsid w:val="009C667E"/>
    <w:rsid w:val="009D62AE"/>
    <w:rsid w:val="00A313B7"/>
    <w:rsid w:val="00A86504"/>
    <w:rsid w:val="00AC1736"/>
    <w:rsid w:val="00AE2285"/>
    <w:rsid w:val="00AF1AD9"/>
    <w:rsid w:val="00B44236"/>
    <w:rsid w:val="00B47C5E"/>
    <w:rsid w:val="00B53C1A"/>
    <w:rsid w:val="00B70F61"/>
    <w:rsid w:val="00BF370B"/>
    <w:rsid w:val="00BF4B33"/>
    <w:rsid w:val="00C15AE2"/>
    <w:rsid w:val="00C35E73"/>
    <w:rsid w:val="00C81F7E"/>
    <w:rsid w:val="00C87227"/>
    <w:rsid w:val="00DB06E1"/>
    <w:rsid w:val="00DD2D9C"/>
    <w:rsid w:val="00E70F1A"/>
    <w:rsid w:val="00E716CD"/>
    <w:rsid w:val="00EC1218"/>
    <w:rsid w:val="00EE2C25"/>
    <w:rsid w:val="00EE6C19"/>
    <w:rsid w:val="00F44ECB"/>
    <w:rsid w:val="00F479F9"/>
    <w:rsid w:val="00F666DC"/>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19</cp:revision>
  <cp:lastPrinted>2019-08-05T10:18:00Z</cp:lastPrinted>
  <dcterms:created xsi:type="dcterms:W3CDTF">2019-02-11T06:42:00Z</dcterms:created>
  <dcterms:modified xsi:type="dcterms:W3CDTF">2020-07-06T07:30:00Z</dcterms:modified>
</cp:coreProperties>
</file>