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93" w:rsidRDefault="00966593" w:rsidP="00966593">
      <w:pPr>
        <w:pageBreakBefore/>
        <w:jc w:val="right"/>
        <w:rPr>
          <w:b/>
          <w:sz w:val="22"/>
          <w:szCs w:val="22"/>
        </w:rPr>
      </w:pPr>
      <w:r>
        <w:rPr>
          <w:b/>
          <w:sz w:val="22"/>
          <w:szCs w:val="22"/>
        </w:rPr>
        <w:t>Приложение №2</w:t>
      </w:r>
    </w:p>
    <w:p w:rsidR="00966593" w:rsidRDefault="00966593" w:rsidP="00966593">
      <w:pPr>
        <w:jc w:val="right"/>
        <w:rPr>
          <w:b/>
          <w:sz w:val="22"/>
          <w:szCs w:val="22"/>
        </w:rPr>
      </w:pPr>
    </w:p>
    <w:p w:rsidR="00966593" w:rsidRDefault="00966593" w:rsidP="00966593">
      <w:pPr>
        <w:pStyle w:val="a3"/>
        <w:jc w:val="center"/>
        <w:rPr>
          <w:b/>
          <w:sz w:val="28"/>
          <w:szCs w:val="28"/>
        </w:rPr>
      </w:pPr>
      <w:r>
        <w:rPr>
          <w:b/>
          <w:sz w:val="28"/>
          <w:szCs w:val="28"/>
        </w:rPr>
        <w:t>ТЕХНИЧЕСКОЕ ЗАДАНИЕ</w:t>
      </w:r>
    </w:p>
    <w:p w:rsidR="00966593" w:rsidRDefault="00966593" w:rsidP="00966593">
      <w:pPr>
        <w:jc w:val="center"/>
        <w:rPr>
          <w:b/>
          <w:sz w:val="28"/>
          <w:szCs w:val="28"/>
        </w:rPr>
      </w:pPr>
      <w:r>
        <w:rPr>
          <w:b/>
          <w:sz w:val="28"/>
          <w:szCs w:val="28"/>
        </w:rPr>
        <w:t>на п</w:t>
      </w:r>
      <w:r w:rsidRPr="00182E38">
        <w:rPr>
          <w:b/>
          <w:sz w:val="28"/>
          <w:szCs w:val="28"/>
        </w:rPr>
        <w:t>оставк</w:t>
      </w:r>
      <w:r>
        <w:rPr>
          <w:b/>
          <w:sz w:val="28"/>
          <w:szCs w:val="28"/>
        </w:rPr>
        <w:t>у</w:t>
      </w:r>
      <w:r w:rsidRPr="00182E38">
        <w:rPr>
          <w:b/>
          <w:sz w:val="28"/>
          <w:szCs w:val="28"/>
        </w:rPr>
        <w:t xml:space="preserve"> </w:t>
      </w:r>
      <w:r w:rsidRPr="001A5583">
        <w:rPr>
          <w:b/>
          <w:bCs/>
          <w:sz w:val="28"/>
          <w:szCs w:val="28"/>
        </w:rPr>
        <w:t>реагентов и расходных материалов для биохимического анализатора «</w:t>
      </w:r>
      <w:r w:rsidRPr="001A5583">
        <w:rPr>
          <w:b/>
          <w:bCs/>
          <w:sz w:val="28"/>
          <w:szCs w:val="28"/>
          <w:lang w:val="en-US"/>
        </w:rPr>
        <w:t>ACCENT</w:t>
      </w:r>
      <w:r w:rsidRPr="001A5583">
        <w:rPr>
          <w:b/>
          <w:bCs/>
          <w:sz w:val="28"/>
          <w:szCs w:val="28"/>
        </w:rPr>
        <w:t xml:space="preserve"> 300»</w:t>
      </w:r>
      <w:r>
        <w:rPr>
          <w:b/>
          <w:bCs/>
          <w:sz w:val="28"/>
          <w:szCs w:val="28"/>
        </w:rPr>
        <w:t xml:space="preserve"> </w:t>
      </w:r>
      <w:r w:rsidRPr="00182E38">
        <w:rPr>
          <w:b/>
          <w:bCs/>
          <w:sz w:val="28"/>
          <w:szCs w:val="28"/>
        </w:rPr>
        <w:t xml:space="preserve">для нужд </w:t>
      </w:r>
      <w:r>
        <w:rPr>
          <w:b/>
          <w:sz w:val="28"/>
          <w:szCs w:val="28"/>
        </w:rPr>
        <w:t>Ч</w:t>
      </w:r>
      <w:r w:rsidRPr="00182E38">
        <w:rPr>
          <w:b/>
          <w:sz w:val="28"/>
          <w:szCs w:val="28"/>
        </w:rPr>
        <w:t>УЗ «</w:t>
      </w:r>
      <w:r>
        <w:rPr>
          <w:b/>
          <w:sz w:val="28"/>
          <w:szCs w:val="28"/>
        </w:rPr>
        <w:t>КБ</w:t>
      </w:r>
      <w:r w:rsidRPr="00182E38">
        <w:rPr>
          <w:b/>
          <w:sz w:val="28"/>
          <w:szCs w:val="28"/>
        </w:rPr>
        <w:t xml:space="preserve"> </w:t>
      </w:r>
      <w:r>
        <w:rPr>
          <w:b/>
          <w:sz w:val="28"/>
          <w:szCs w:val="28"/>
        </w:rPr>
        <w:t>«РЖД-Медицина» г.Астрахань»</w:t>
      </w:r>
    </w:p>
    <w:p w:rsidR="00966593" w:rsidRDefault="00966593" w:rsidP="00966593">
      <w:pPr>
        <w:jc w:val="center"/>
        <w:rPr>
          <w:b/>
          <w:sz w:val="28"/>
          <w:szCs w:val="28"/>
        </w:rPr>
      </w:pPr>
    </w:p>
    <w:p w:rsidR="00966593" w:rsidRDefault="00966593" w:rsidP="00966593">
      <w:pPr>
        <w:jc w:val="both"/>
      </w:pPr>
      <w:r w:rsidRPr="00182E38">
        <w:rPr>
          <w:b/>
          <w:snapToGrid w:val="0"/>
          <w:color w:val="000000"/>
        </w:rPr>
        <w:t xml:space="preserve">Предмет процедуры закупки: </w:t>
      </w:r>
      <w:r w:rsidRPr="00182E38">
        <w:rPr>
          <w:snapToGrid w:val="0"/>
          <w:color w:val="000000"/>
        </w:rPr>
        <w:t xml:space="preserve">Поставка </w:t>
      </w:r>
      <w:r w:rsidRPr="001A5583">
        <w:rPr>
          <w:bCs/>
        </w:rPr>
        <w:t>реагентов и расходных материалов для биохимического анализатора «</w:t>
      </w:r>
      <w:r w:rsidRPr="001A5583">
        <w:rPr>
          <w:bCs/>
          <w:lang w:val="en-US"/>
        </w:rPr>
        <w:t>ACCENT</w:t>
      </w:r>
      <w:r w:rsidRPr="001A5583">
        <w:rPr>
          <w:bCs/>
        </w:rPr>
        <w:t xml:space="preserve"> 300»</w:t>
      </w:r>
      <w:r>
        <w:rPr>
          <w:b/>
          <w:bCs/>
        </w:rPr>
        <w:t xml:space="preserve"> </w:t>
      </w:r>
      <w:r w:rsidRPr="00182E38">
        <w:rPr>
          <w:bCs/>
        </w:rPr>
        <w:t xml:space="preserve">для нужд </w:t>
      </w:r>
      <w:r>
        <w:t>Ч</w:t>
      </w:r>
      <w:r w:rsidRPr="00182E38">
        <w:t>УЗ «</w:t>
      </w:r>
      <w:r>
        <w:t>КБ</w:t>
      </w:r>
      <w:r w:rsidRPr="00182E38">
        <w:t xml:space="preserve"> </w:t>
      </w:r>
      <w:r>
        <w:t>«РЖД-Медицина» г. Астрахань»</w:t>
      </w:r>
    </w:p>
    <w:p w:rsidR="00966593" w:rsidRDefault="00966593" w:rsidP="00966593">
      <w:pPr>
        <w:jc w:val="both"/>
      </w:pPr>
    </w:p>
    <w:p w:rsidR="00966593" w:rsidRDefault="00966593" w:rsidP="00966593">
      <w:pPr>
        <w:jc w:val="both"/>
      </w:pPr>
    </w:p>
    <w:tbl>
      <w:tblPr>
        <w:tblW w:w="5000" w:type="pct"/>
        <w:tblLook w:val="04A0"/>
      </w:tblPr>
      <w:tblGrid>
        <w:gridCol w:w="458"/>
        <w:gridCol w:w="3047"/>
        <w:gridCol w:w="975"/>
        <w:gridCol w:w="688"/>
        <w:gridCol w:w="4403"/>
      </w:tblGrid>
      <w:tr w:rsidR="00966593" w:rsidRPr="00980CB8" w:rsidTr="00780893">
        <w:trPr>
          <w:trHeight w:val="255"/>
        </w:trPr>
        <w:tc>
          <w:tcPr>
            <w:tcW w:w="22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66593" w:rsidRPr="00980CB8" w:rsidRDefault="00966593" w:rsidP="00780893">
            <w:pPr>
              <w:jc w:val="center"/>
              <w:rPr>
                <w:b/>
                <w:bCs/>
              </w:rPr>
            </w:pPr>
            <w:r w:rsidRPr="00980CB8">
              <w:rPr>
                <w:b/>
                <w:bCs/>
              </w:rPr>
              <w:t>№</w:t>
            </w:r>
          </w:p>
        </w:tc>
        <w:tc>
          <w:tcPr>
            <w:tcW w:w="1076" w:type="pct"/>
            <w:tcBorders>
              <w:top w:val="single" w:sz="8" w:space="0" w:color="auto"/>
              <w:left w:val="nil"/>
              <w:bottom w:val="single" w:sz="4" w:space="0" w:color="auto"/>
              <w:right w:val="single" w:sz="4" w:space="0" w:color="auto"/>
            </w:tcBorders>
            <w:shd w:val="clear" w:color="auto" w:fill="auto"/>
            <w:noWrap/>
            <w:vAlign w:val="center"/>
            <w:hideMark/>
          </w:tcPr>
          <w:p w:rsidR="00966593" w:rsidRPr="00980CB8" w:rsidRDefault="00966593" w:rsidP="00780893">
            <w:pPr>
              <w:jc w:val="center"/>
              <w:rPr>
                <w:b/>
                <w:bCs/>
              </w:rPr>
            </w:pPr>
            <w:r w:rsidRPr="00980CB8">
              <w:rPr>
                <w:b/>
                <w:bCs/>
              </w:rPr>
              <w:t>Товары (работы, услуги)</w:t>
            </w:r>
          </w:p>
        </w:tc>
        <w:tc>
          <w:tcPr>
            <w:tcW w:w="339" w:type="pct"/>
            <w:tcBorders>
              <w:top w:val="single" w:sz="8" w:space="0" w:color="auto"/>
              <w:left w:val="nil"/>
              <w:bottom w:val="single" w:sz="4" w:space="0" w:color="auto"/>
              <w:right w:val="single" w:sz="4" w:space="0" w:color="auto"/>
            </w:tcBorders>
            <w:shd w:val="clear" w:color="auto" w:fill="auto"/>
            <w:noWrap/>
            <w:vAlign w:val="center"/>
            <w:hideMark/>
          </w:tcPr>
          <w:p w:rsidR="00966593" w:rsidRPr="00980CB8" w:rsidRDefault="00966593" w:rsidP="00780893">
            <w:pPr>
              <w:jc w:val="center"/>
              <w:rPr>
                <w:b/>
                <w:bCs/>
              </w:rPr>
            </w:pPr>
            <w:r w:rsidRPr="00980CB8">
              <w:rPr>
                <w:b/>
                <w:bCs/>
              </w:rPr>
              <w:t>Кол-во</w:t>
            </w:r>
          </w:p>
        </w:tc>
        <w:tc>
          <w:tcPr>
            <w:tcW w:w="243" w:type="pct"/>
            <w:tcBorders>
              <w:top w:val="single" w:sz="8" w:space="0" w:color="auto"/>
              <w:left w:val="nil"/>
              <w:bottom w:val="single" w:sz="4" w:space="0" w:color="auto"/>
              <w:right w:val="single" w:sz="4" w:space="0" w:color="auto"/>
            </w:tcBorders>
            <w:shd w:val="clear" w:color="auto" w:fill="auto"/>
            <w:noWrap/>
            <w:vAlign w:val="center"/>
            <w:hideMark/>
          </w:tcPr>
          <w:p w:rsidR="00966593" w:rsidRPr="00980CB8" w:rsidRDefault="00966593" w:rsidP="00780893">
            <w:pPr>
              <w:jc w:val="center"/>
              <w:rPr>
                <w:b/>
                <w:bCs/>
              </w:rPr>
            </w:pPr>
            <w:r w:rsidRPr="00980CB8">
              <w:rPr>
                <w:b/>
                <w:bCs/>
              </w:rPr>
              <w:t>Ед.</w:t>
            </w:r>
          </w:p>
        </w:tc>
        <w:tc>
          <w:tcPr>
            <w:tcW w:w="3116" w:type="pct"/>
            <w:tcBorders>
              <w:top w:val="single" w:sz="8" w:space="0" w:color="auto"/>
              <w:left w:val="nil"/>
              <w:bottom w:val="single" w:sz="4" w:space="0" w:color="auto"/>
              <w:right w:val="nil"/>
            </w:tcBorders>
            <w:shd w:val="clear" w:color="auto" w:fill="auto"/>
            <w:noWrap/>
            <w:vAlign w:val="center"/>
            <w:hideMark/>
          </w:tcPr>
          <w:p w:rsidR="00966593" w:rsidRPr="00980CB8" w:rsidRDefault="00966593" w:rsidP="00780893">
            <w:pPr>
              <w:jc w:val="center"/>
              <w:rPr>
                <w:b/>
                <w:bCs/>
              </w:rPr>
            </w:pPr>
            <w:r w:rsidRPr="00980CB8">
              <w:rPr>
                <w:b/>
                <w:bCs/>
              </w:rPr>
              <w:t>Технические характеристики</w:t>
            </w:r>
          </w:p>
        </w:tc>
      </w:tr>
      <w:tr w:rsidR="00966593" w:rsidRPr="00980CB8" w:rsidTr="00780893">
        <w:trPr>
          <w:trHeight w:val="2400"/>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1</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общего белка - ACCENT-300 TOTAL PROTEIN</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13</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общего белка в биологическом материале.</w:t>
            </w:r>
            <w:r w:rsidRPr="00980CB8">
              <w:br/>
              <w:t xml:space="preserve">Фасовка: 2х48мл. Реагенты в системных флаконах, предназначенные для непосредственной установки в анализатор. </w:t>
            </w:r>
            <w:r w:rsidRPr="00980CB8">
              <w:br/>
              <w:t xml:space="preserve">Принцип метода: основан на биуретовой реакции. </w:t>
            </w:r>
            <w:r w:rsidRPr="00980CB8">
              <w:br/>
              <w:t>Состав: сульфат (VI) меди (II) не более 14 ммоль/л, виннокислый калий-натрий не более 36 ммоль/л, иодистый калий не более 36 ммоль/л, гидроксид натрия не более 570 ммоль/л.</w:t>
            </w:r>
            <w:r w:rsidRPr="00980CB8">
              <w:br/>
              <w:t>Чувствител</w:t>
            </w:r>
            <w:bookmarkStart w:id="0" w:name="_GoBack"/>
            <w:bookmarkEnd w:id="0"/>
            <w:r w:rsidRPr="00980CB8">
              <w:t xml:space="preserve">ьность: не более 0,5 г/дл </w:t>
            </w:r>
            <w:r w:rsidRPr="00980CB8">
              <w:br/>
              <w:t xml:space="preserve">Линейность: не менее 16 г/дл </w:t>
            </w:r>
            <w:r w:rsidRPr="00980CB8">
              <w:br/>
              <w:t>Срок и условия хранения: при температуре 2-8°C сохраняет стабильность в течение всего срока годности, указанного на упаковке. Реагент на борту анализатора при температуре 2-10°C стабилен не менее 5 недель.</w:t>
            </w:r>
          </w:p>
        </w:tc>
      </w:tr>
      <w:tr w:rsidR="00966593" w:rsidRPr="00980CB8" w:rsidTr="00780893">
        <w:trPr>
          <w:trHeight w:val="2490"/>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2</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альбумина - ACCENT-300 ALBUMIN</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альбумина в биологическом материале.</w:t>
            </w:r>
            <w:r w:rsidRPr="00980CB8">
              <w:br/>
              <w:t xml:space="preserve">Фасовка: 2х48 мл. Реагенты в системных флаконах, предназначенные для непосредственной установки в анализатор. </w:t>
            </w:r>
            <w:r w:rsidRPr="00980CB8">
              <w:br/>
              <w:t>Принцип метода: реакция с бромкрезоловым зеленым.</w:t>
            </w:r>
            <w:r w:rsidRPr="00980CB8">
              <w:br/>
              <w:t>Состав: сукцинатный буфер не более 108 ммоль/л, бромкрезоловый зеленый менее 0,35 ммоль/л, гидроксид натрия не более 60 ммоль/л.</w:t>
            </w:r>
            <w:r w:rsidRPr="00980CB8">
              <w:br/>
              <w:t xml:space="preserve">Чувствительность: не более 1,5 г/дл </w:t>
            </w:r>
            <w:r w:rsidRPr="00980CB8">
              <w:br/>
              <w:t xml:space="preserve">Линейность: не менее 6,0 г/дл </w:t>
            </w:r>
            <w:r w:rsidRPr="00980CB8">
              <w:br/>
              <w:t xml:space="preserve">Срок и условия хранения: при температуре 2-8 °С реагент сохраняeт </w:t>
            </w:r>
            <w:r w:rsidRPr="00980CB8">
              <w:lastRenderedPageBreak/>
              <w:t>стабильность в течение всего срока годности, указанного на упаковке. Реагент на борту анализатора при температуре 2-10 °C стабилен не менее 12 недель.</w:t>
            </w:r>
          </w:p>
        </w:tc>
      </w:tr>
      <w:tr w:rsidR="00966593" w:rsidRPr="00980CB8" w:rsidTr="00780893">
        <w:trPr>
          <w:trHeight w:val="253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3</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мочевины - ACCENT-300 UREA</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13</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мочевины в биологическом материале.</w:t>
            </w:r>
            <w:r w:rsidRPr="00980CB8">
              <w:br/>
              <w:t xml:space="preserve">Фасовка: 4x48мл; 2x24,5мл. Реагенты в системных флаконах, предназначенные для непосредственной установки в анализатор. </w:t>
            </w:r>
            <w:r w:rsidRPr="00980CB8">
              <w:br/>
              <w:t>Принцип метода: ферментативный, кинетический, уреазный.</w:t>
            </w:r>
            <w:r w:rsidRPr="00980CB8">
              <w:br/>
              <w:t>Состав: Трис буфер (рH 7,8) не более 96 ммоль/л, АДФ 0,6 не более ммоль/л, уреаза не более 266,7 мккат/л, ГЛДГ не более 16 мккат/л, НАДН не более 0,26 ммоль/л, 2-оксоглутарат не более 9 ммоль/л.</w:t>
            </w:r>
            <w:r w:rsidRPr="00980CB8">
              <w:br/>
              <w:t>Чувствительность: не более 0,5 ммоль/л</w:t>
            </w:r>
            <w:r w:rsidRPr="00980CB8">
              <w:br/>
              <w:t>Линейность: не менее  55,0 ммоль/л</w:t>
            </w:r>
            <w:r w:rsidRPr="00980CB8">
              <w:br/>
              <w:t>Срок и условия хранения: при температуре 2-8 °C реагенты сохраняют стабильность в течение всего срока годности, указанного на упаковке. Стабильность на борту анализатора при 2-10 °C составляет не менее 4 недель.</w:t>
            </w:r>
          </w:p>
        </w:tc>
      </w:tr>
      <w:tr w:rsidR="00966593" w:rsidRPr="00980CB8" w:rsidTr="00780893">
        <w:trPr>
          <w:trHeight w:val="253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4</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креатинина - ACCENT-300 CREATININE</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26</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креатинина в биологическом материале.</w:t>
            </w:r>
            <w:r w:rsidRPr="00980CB8">
              <w:br/>
              <w:t xml:space="preserve">Фасовка: 2х48мл, 1х25,5 мл. Реагенты в системных флаконах, предназначенные для непосредственной установки в анализатор. </w:t>
            </w:r>
            <w:r w:rsidRPr="00980CB8">
              <w:br/>
              <w:t>Принцип метода: кинетический с пикриновой кислотой, без депротеинизации.</w:t>
            </w:r>
            <w:r w:rsidRPr="00980CB8">
              <w:br/>
              <w:t>Состав: гидроксид натрия не более 300 ммоль/л, буфер карбонатный не более 100 ммоль/л, кислота пикриновая не более 6,5 ммоль/л.</w:t>
            </w:r>
            <w:r w:rsidRPr="00980CB8">
              <w:br/>
              <w:t xml:space="preserve">Чувствительность: не более 0,5 мг/дл </w:t>
            </w:r>
            <w:r w:rsidRPr="00980CB8">
              <w:br/>
              <w:t xml:space="preserve">Линейность: не менее19,5 мг/дл </w:t>
            </w:r>
            <w:r w:rsidRPr="00980CB8">
              <w:br/>
              <w:t>Срок и условия хранения: при температуре 15-25 °C реагенты сохраняют стабильность в течение всего срока годности, указанного на упаковке. Стабильность на борту анализатора при 2-10 °C составляет не менее 8 недель.</w:t>
            </w:r>
          </w:p>
        </w:tc>
      </w:tr>
      <w:tr w:rsidR="00966593" w:rsidRPr="00980CB8" w:rsidTr="00780893">
        <w:trPr>
          <w:trHeight w:val="253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5</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глюкозы - ACCENT-300 GLUCOSE</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28</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глюкозы в биологическом материале.</w:t>
            </w:r>
            <w:r w:rsidRPr="00980CB8">
              <w:br/>
              <w:t xml:space="preserve">Фасовка: 4х48мл. Реагенты в системных флаконах, предназначенные для непосредственной установки в анализатор. </w:t>
            </w:r>
            <w:r w:rsidRPr="00980CB8">
              <w:br/>
              <w:t>Принцип метода: кoлориметрический, энзиматический, оксидазный.</w:t>
            </w:r>
            <w:r w:rsidRPr="00980CB8">
              <w:br/>
              <w:t>Состав: фосфатный буфер (рH 7,0) не более 240 ммоль/л, фенол  не более 6 ммоль/л, глюкозоксидаза не более 480мккат/л, пероксидаза не более 44 мккат/л, 4-аминоантипирин не более  0.9 ммоль/л.</w:t>
            </w:r>
            <w:r w:rsidRPr="00980CB8">
              <w:br/>
              <w:t>Чувствительность: не более1,0 ммоль/л</w:t>
            </w:r>
            <w:r w:rsidRPr="00980CB8">
              <w:br/>
              <w:t>Линейность: не менее  27,0 ммоль/л</w:t>
            </w:r>
            <w:r w:rsidRPr="00980CB8">
              <w:br/>
              <w:t xml:space="preserve">Срок и условия хранения: срок и условия хранения: реагент при температуре 2-8 °C сохраняют стабильность в течение всего срока годности, указанного на упаковке. </w:t>
            </w:r>
            <w:r w:rsidRPr="00980CB8">
              <w:br/>
              <w:t xml:space="preserve">Реагенты на борту аппарата при температуре 2-10 °C стабильны не менее 11 недель. </w:t>
            </w:r>
          </w:p>
        </w:tc>
      </w:tr>
      <w:tr w:rsidR="00966593" w:rsidRPr="00980CB8" w:rsidTr="00780893">
        <w:trPr>
          <w:trHeight w:val="232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6</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аланинаминотрансферазы - ACCENT-300 ALAT</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12</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аланинаминотрансферазы в биологическом материале.</w:t>
            </w:r>
            <w:r w:rsidRPr="00980CB8">
              <w:br/>
              <w:t xml:space="preserve">Фасовка: 4x48мл; 1x48мл .Реагенты в системных флаконах, предназначенные для непосредственной установки в анализатор. </w:t>
            </w:r>
            <w:r w:rsidRPr="00980CB8">
              <w:br/>
              <w:t xml:space="preserve">Принцип метода: кинетический, колориметрический без пиридоксальфосфата. </w:t>
            </w:r>
            <w:r w:rsidRPr="00980CB8">
              <w:br/>
              <w:t>Состав: Трис (рН 7,5) не более 100 ммоль/л, L- aланин не более 500 ммоль/л, ЛДГ более 36,7 мккат/л, 2- оксоглутарат не более 15 ммоль/л, НАДН не более 0,18 ммоль/л.</w:t>
            </w:r>
            <w:r w:rsidRPr="00980CB8">
              <w:br/>
              <w:t>Чувствительность: не более 9,0 Ед/л</w:t>
            </w:r>
            <w:r w:rsidRPr="00980CB8">
              <w:br/>
              <w:t>Линейность: не менее 1050 Ед/л</w:t>
            </w:r>
            <w:r w:rsidRPr="00980CB8">
              <w:br/>
              <w:t>Срок и условия хранения: при температуре 2-8 °C реагенты сохраняют стабильность в течении всего срока годности, указанного на упаковке. Реагенты на борту аппарата при температуре 2-10 °C стабильны не менее 12 недель.</w:t>
            </w:r>
          </w:p>
        </w:tc>
      </w:tr>
      <w:tr w:rsidR="00966593" w:rsidRPr="00980CB8" w:rsidTr="00780893">
        <w:trPr>
          <w:trHeight w:val="274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7</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аспартатаминотрансферазы - ACCENT-300 ASAT</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12</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аспартатаминотрансферазы в биологическом материале.</w:t>
            </w:r>
            <w:r w:rsidRPr="00980CB8">
              <w:br/>
              <w:t xml:space="preserve">Фасовка: 4х48мл; 1х48мл. Реагенты в системных флаконах, предназначенные для непосредственной установки в анализатор. </w:t>
            </w:r>
            <w:r w:rsidRPr="00980CB8">
              <w:br/>
              <w:t xml:space="preserve">Принцип метода: кинетический, колориметрический без пиридоксальфосфата. </w:t>
            </w:r>
            <w:r w:rsidRPr="00980CB8">
              <w:br/>
              <w:t>Состав: Реагент1: Трис (pH 7,8) не более 80 ммоль/л, L-аспартат не более 240 ммоль/л, МДГ более 10 мккат/л, ЛДГ более 20 мккат/л,  2-оксоглутарат не более 15 ммоль/л, НАДН не более  0,18 ммоль/л, гидроксид натрия менее 1%.</w:t>
            </w:r>
            <w:r w:rsidRPr="00980CB8">
              <w:br/>
              <w:t xml:space="preserve">Чувствительность: не более 10 Ед/л </w:t>
            </w:r>
            <w:r w:rsidRPr="00980CB8">
              <w:br/>
              <w:t>Линейность: не менее 1050 Ед/л</w:t>
            </w:r>
            <w:r w:rsidRPr="00980CB8">
              <w:br/>
              <w:t>Срок и условия хранения: при температуре 2-8 °C реагенты сохраняют стабильность в течении всего срока годности, указанного на упаковке. Реагенты на борту аппарата при температуре 2-10 °C стабильны не менее 12 недель.</w:t>
            </w:r>
          </w:p>
        </w:tc>
      </w:tr>
      <w:tr w:rsidR="00966593" w:rsidRPr="00980CB8" w:rsidTr="00780893">
        <w:trPr>
          <w:trHeight w:val="232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8</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общего билирубина - ACCENT-300 BIL TOTAL</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6</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общего билирубина в биологическом материале.</w:t>
            </w:r>
            <w:r w:rsidRPr="00980CB8">
              <w:br/>
              <w:t xml:space="preserve">Фасовка: 5x41мл; 2x26мл. Реагенты в системных флаконах, предназначенные для непосредственной установки в анализатор. </w:t>
            </w:r>
            <w:r w:rsidRPr="00980CB8">
              <w:br/>
              <w:t>Принцип метода: основан на оксидации в присутствии ванадата в качестве окислителя.</w:t>
            </w:r>
            <w:r w:rsidRPr="00980CB8">
              <w:br/>
              <w:t>Состав: Реагент1: Цитратный буфер (pH 2,8) не более 90 ммоль/л,детергент. Реагент2:  фосфатный буфер (pH 7,0) не более 4,6 ммоль/л, метаванадат натрия не более 3,0 ммоль/л.</w:t>
            </w:r>
            <w:r w:rsidRPr="00980CB8">
              <w:br/>
              <w:t>Чувствительность: не более 3,0 мкмоль/л</w:t>
            </w:r>
            <w:r w:rsidRPr="00980CB8">
              <w:br/>
              <w:t>Линейность: не менее 700 мкмоль/л</w:t>
            </w:r>
            <w:r w:rsidRPr="00980CB8">
              <w:br/>
              <w:t>Срок и условия хранения: реагенты при температуре 10-25°C  сохраняют стабильность в течение всего срока годности, указанного на упаковке. Реагенты на борту анализатора при температуре 2-10°C стабильны не менее 7 недель.</w:t>
            </w:r>
          </w:p>
        </w:tc>
      </w:tr>
      <w:tr w:rsidR="00966593" w:rsidRPr="00980CB8" w:rsidTr="00780893">
        <w:trPr>
          <w:trHeight w:val="274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9</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альфа-амилазы - ACCENT-300 AMYLASE</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7</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альфа-амилазы в биологическом материале.</w:t>
            </w:r>
            <w:r w:rsidRPr="00980CB8">
              <w:br/>
              <w:t xml:space="preserve">Фасовка: 2х48мл. Реагенты в системных флаконах, предназначенные для непосредственной установки в анализатор. </w:t>
            </w:r>
            <w:r w:rsidRPr="00980CB8">
              <w:br/>
              <w:t xml:space="preserve">Принцип метода: кинетический, колориметрический с 2-хлоро-4-нитрофенилl-альфа-мальтотриозидом (CNP-G3) </w:t>
            </w:r>
            <w:r w:rsidRPr="00980CB8">
              <w:br/>
              <w:t>Состав: МЕС буфер не более 120 ммоль/л, ацетат кальция не более 7 ммоль/л, гидроокись калия не более 40 ммоль/л, тиоцианат калия не более 1100 ммоль/л, 2-хлор-4-нитрофенил-α-мальтотриозид не более 2,0 ммоль/л.</w:t>
            </w:r>
            <w:r w:rsidRPr="00980CB8">
              <w:br/>
              <w:t>Чувствительность: не более 10 Ед/л</w:t>
            </w:r>
            <w:r w:rsidRPr="00980CB8">
              <w:br/>
              <w:t xml:space="preserve">Линейность: не менее 1450 Ед/л </w:t>
            </w:r>
            <w:r w:rsidRPr="00980CB8">
              <w:br/>
              <w:t xml:space="preserve">Срок и условия хранения: при температуре 2-8 °C реагент сохраняeт стабильность в течение всего срока годности, указанного на упаковке. Стабильность на борту анализатора при 2-10 °C составляет не менее 11 недель. </w:t>
            </w:r>
          </w:p>
        </w:tc>
      </w:tr>
      <w:tr w:rsidR="00966593" w:rsidRPr="00980CB8" w:rsidTr="00780893">
        <w:trPr>
          <w:trHeight w:val="253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10</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холестерина - ACCENT-300 CHOL</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17</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холестерина в биологическом материале.</w:t>
            </w:r>
            <w:r w:rsidRPr="00980CB8">
              <w:br/>
              <w:t xml:space="preserve">Фасовка: 4х48мл. Реагенты в системных флаконах, предназначенные для непосредственной установки в анализатор. </w:t>
            </w:r>
            <w:r w:rsidRPr="00980CB8">
              <w:br/>
              <w:t xml:space="preserve">Принцип метода: кoлориметрический, энзиматический с эстеразой и оксидазой холестерина. </w:t>
            </w:r>
            <w:r w:rsidRPr="00980CB8">
              <w:br/>
              <w:t>Состав: буфер Гуда (pH 6,4) не более120 ммоль/л, фенол не более 6 ммоль/л, 4-аминоантипирин не более 0,4 ммоль/л, эстераза холестерина не более 4 мккат/л, оксидаза холестерина  не более 5 мккат/л, пероксидаза  более 24 мккат/л.</w:t>
            </w:r>
            <w:r w:rsidRPr="00980CB8">
              <w:br/>
              <w:t>Чувствительность: не более 1,0 ммоль/л</w:t>
            </w:r>
            <w:r w:rsidRPr="00980CB8">
              <w:br/>
              <w:t>Линейность: не менее 19,0 ммоль/л</w:t>
            </w:r>
            <w:r w:rsidRPr="00980CB8">
              <w:br/>
              <w:t>Срок и условия хранения: при температуре 2-8 °C реагент сохраняeт стабильность в течение всего срока годности, указанного на упаковке. Реагенты на борту аппарата при температуре 2-10 °C стабильны не менее 11 недель.</w:t>
            </w:r>
          </w:p>
        </w:tc>
      </w:tr>
      <w:tr w:rsidR="00966593" w:rsidRPr="00980CB8" w:rsidTr="00780893">
        <w:trPr>
          <w:trHeight w:val="295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11</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триглицеридов - ACCENT-300 TG</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5</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триглицеридов в биологическом материале.</w:t>
            </w:r>
            <w:r w:rsidRPr="00980CB8">
              <w:br/>
              <w:t xml:space="preserve">Фасовка: 4x48мл; 1x48мл. Реагенты в системных флаконах, предназначенные для непосредственной установки в анализатор. </w:t>
            </w:r>
            <w:r w:rsidRPr="00980CB8">
              <w:br/>
              <w:t xml:space="preserve">Принцип метода:кoлориметрический, энзиматический с глицерофосфорной оксидазой. </w:t>
            </w:r>
            <w:r w:rsidRPr="00980CB8">
              <w:br/>
              <w:t>Состав: Буфер ПИПЕС (pH 7,0) не более 40 ммоль/л, 4-аминоантипирин не более 0,4 ммоль/л, ATФ не более 1,5 ммоль/л, магний не более 1,6 ммоль/л, АДФС не более 0,6 ммоль/л, глицеринкиназа  более 66,67 мккат/л, оксидаза3-фосфоглицерина более 60,00 мккат/л, пероксидаза более 20,00 мккат/л, липопротеинлипаза более 16,67 мккат/л.</w:t>
            </w:r>
            <w:r w:rsidRPr="00980CB8">
              <w:br/>
              <w:t>Чувствительность: не более 0,1 ммоль/л</w:t>
            </w:r>
            <w:r w:rsidRPr="00980CB8">
              <w:br/>
              <w:t>Линейность: не менее 25,0 ммоль/л</w:t>
            </w:r>
            <w:r w:rsidRPr="00980CB8">
              <w:br/>
              <w:t xml:space="preserve">Срок и условия хранения: реактивы хранящиеся при температуре 2-8 °С сохраняют свою пригодность до даты срока годности, указанной на упаковке. Реагенты на борту аппарата при температуре 2-10 °C стабильны не менее 11 недель. </w:t>
            </w:r>
          </w:p>
        </w:tc>
      </w:tr>
      <w:tr w:rsidR="00966593" w:rsidRPr="00980CB8" w:rsidTr="00780893">
        <w:trPr>
          <w:trHeight w:val="232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12</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щелочной фосфатазы - ACCENT-300 ALP</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2</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щелочной фосфатазы в биологическом материале.</w:t>
            </w:r>
            <w:r w:rsidRPr="00980CB8">
              <w:br/>
              <w:t xml:space="preserve">Фасовка: 2x48мл; 2х13 мл. Реагенты в системных флаконах, предназначенные для непосредственной установки в анализатор. </w:t>
            </w:r>
            <w:r w:rsidRPr="00980CB8">
              <w:br/>
              <w:t>Принцип метода:кинетический, колориметрический, энзиматический.</w:t>
            </w:r>
            <w:r w:rsidRPr="00980CB8">
              <w:br/>
              <w:t>Состав: 2-амино-2-метил-1-пропанол (АМР) не более 350 ммоль/л, магний не более  2,0 ммоль/л, цинк не более 1,0 ммоль/л, ГЭДТА не более 2,0 ммоль/л, П-нитрофенилфосфат не более 16,0 ммоль/л.</w:t>
            </w:r>
            <w:r w:rsidRPr="00980CB8">
              <w:br/>
              <w:t xml:space="preserve">Чувствительность: не более9,0 Ед/л </w:t>
            </w:r>
            <w:r w:rsidRPr="00980CB8">
              <w:br/>
              <w:t xml:space="preserve">Линейность: не менее 950 Ед/л </w:t>
            </w:r>
            <w:r w:rsidRPr="00980CB8">
              <w:br/>
              <w:t xml:space="preserve">Срок и условия хранения: при температуре 2-8 °C реагент сохраняeт стабильность в течение всего срока годности, указанного на упаковке. Стабильность на борту анализатора при 2-10 °C составляет не менее 12 недель. </w:t>
            </w:r>
          </w:p>
        </w:tc>
      </w:tr>
      <w:tr w:rsidR="00966593" w:rsidRPr="00980CB8" w:rsidTr="00780893">
        <w:trPr>
          <w:trHeight w:val="295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13</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мочевой кислоты - ACCENT-300 UA</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6</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pPr>
              <w:spacing w:after="240"/>
            </w:pPr>
            <w:r w:rsidRPr="00980CB8">
              <w:t>Предназначен для определения мочевой кислоты в биологическом материале .</w:t>
            </w:r>
            <w:r w:rsidRPr="00980CB8">
              <w:br/>
              <w:t xml:space="preserve">Фасовка: 2x48мл; 1x25,5 мл. Реагенты в системных флаконах, предназначенные для непосредственной установки в анализатор. </w:t>
            </w:r>
            <w:r w:rsidRPr="00980CB8">
              <w:br/>
              <w:t>Принцип метода: энзиматический, кoлориметрический, с уриказой и пероксидазой.</w:t>
            </w:r>
            <w:r w:rsidRPr="00980CB8">
              <w:br/>
              <w:t>Состав: Буфер ПИПЕС (pH 7,0) не более 100 ммоль/л, 4-аминоантипирин не более 0,78 ммоль/л, АДФС не более 0,67 ммоль/л, гексацианоферриат калия не более 3,8 мкмоль/л, пероксидаза  более 38,34 мккат/л, уриказа более 1,65 мккат/л.</w:t>
            </w:r>
            <w:r w:rsidRPr="00980CB8">
              <w:br/>
              <w:t xml:space="preserve">Чувствительность: не более 1,2 мг/дл </w:t>
            </w:r>
            <w:r w:rsidRPr="00980CB8">
              <w:br/>
              <w:t xml:space="preserve">Линейность: не менее  30 мг/дл </w:t>
            </w:r>
            <w:r w:rsidRPr="00980CB8">
              <w:br/>
              <w:t>Срок и условия хранения: при температуре 2-8 °С реагенты сохраняют стабильность в течении всего срока годности, указанного на упаковке. Реагенты на борту анализатора при температуре 2-10 °C стабильны не менее 11 недель.</w:t>
            </w:r>
          </w:p>
        </w:tc>
      </w:tr>
      <w:tr w:rsidR="00966593" w:rsidRPr="00980CB8" w:rsidTr="00780893">
        <w:trPr>
          <w:trHeight w:val="295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14</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железа - ACCENT-300 FERRUM</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2</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железа в биологическом материале.</w:t>
            </w:r>
            <w:r w:rsidRPr="00980CB8">
              <w:br/>
              <w:t xml:space="preserve">Фасовка: 3х39,5 мл; 2х12,5мл. Реагенты в системных флаконах, предназначенные для непосредственной установки в анализатор. </w:t>
            </w:r>
            <w:r w:rsidRPr="00980CB8">
              <w:br/>
              <w:t>Принцип метода:кoлориметрический метод с ферpозином без депротеинизации.</w:t>
            </w:r>
            <w:r w:rsidRPr="00980CB8">
              <w:br/>
              <w:t>Состав: Реагент1: лимонная кислота (pH 1,9) не более 200 ммоль/л, тиомочевина не более 90 ммоль/л, детергент не более 6%. Реагент2:  аскорбат натрия не более 125 ммоль/л, хлорид натрия не более 50 ммоль/л, натриевая соль 3-(2-пиридил)-5,6-бис(2-[4-фенилсульфокислота])-1,2,4-триазин (ферpозин) более 5 ммоль/л, консерванты не более 0,2%.</w:t>
            </w:r>
            <w:r w:rsidRPr="00980CB8">
              <w:br/>
              <w:t>Чувствительность: не более 1,5 мкмоль/л</w:t>
            </w:r>
            <w:r w:rsidRPr="00980CB8">
              <w:br/>
              <w:t>Линейность: не менее 175 мкмоль/л</w:t>
            </w:r>
            <w:r w:rsidRPr="00980CB8">
              <w:br/>
              <w:t xml:space="preserve">Срок и условия хранения: при температуре 2-8 °C реагенты сохраняют стабильность в течение всего срока годности, указанного на упаковке. Реагенты на борту аппарата при </w:t>
            </w:r>
            <w:r w:rsidRPr="00980CB8">
              <w:lastRenderedPageBreak/>
              <w:t>температуре 2-10 °C стабильны не менее 11 недель.</w:t>
            </w:r>
          </w:p>
        </w:tc>
      </w:tr>
      <w:tr w:rsidR="00966593" w:rsidRPr="00980CB8" w:rsidTr="00780893">
        <w:trPr>
          <w:trHeight w:val="400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15</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креатинфосфокиназы-МВ - ACCENT-300 CK-MB</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pPr>
              <w:spacing w:after="240"/>
            </w:pPr>
            <w:r w:rsidRPr="00980CB8">
              <w:t>Предназначен для определения креатинфосфокиназы-МВ в биологическом материале.</w:t>
            </w:r>
            <w:r w:rsidRPr="00980CB8">
              <w:br/>
              <w:t xml:space="preserve">Фасовка: 2х48мл; 1х20мл. Реагенты в системных флаконах, предназначенные для непосредственной установки в анализатор. </w:t>
            </w:r>
            <w:r w:rsidRPr="00980CB8">
              <w:br/>
              <w:t>Принцип метода: кинетический, колориметрический, энзиматический.</w:t>
            </w:r>
            <w:r w:rsidRPr="00980CB8">
              <w:br/>
              <w:t>Состав: Реагент1: имидазол буфер (pH 6,7) не более 100 ммоль/л, Д-глюкоза не более 20 ммоль/л, N-ацетилоцистеин не более 20 ммоль/л, aцетат магния не более 10 ммоль/л, ЭДTA не более 2 ммоль/л, НАДФ не более  2 ммоль/л, AДФ не более 2 ммоль/л, AМФ не более 5 ммоль/л, гексокиназа более 2,5 Ед/мл, поликлональные антитела к СК-М  не более 8000 Ед/л/ Реагент2: диаденозинпентафосфат не более 10 мкмоль/л, глюкозo-6-фосфат-дегидрогеназа более 1,5 Ед/мл, фосфат креатина не более 30 ммоль/л, консерванты.</w:t>
            </w:r>
            <w:r w:rsidRPr="00980CB8">
              <w:br/>
              <w:t xml:space="preserve">Чувствительность: не более 12,5Ед/л </w:t>
            </w:r>
            <w:r w:rsidRPr="00980CB8">
              <w:br/>
              <w:t xml:space="preserve">Линейность: не менее 2650 Ед/л </w:t>
            </w:r>
            <w:r w:rsidRPr="00980CB8">
              <w:br/>
              <w:t>Срок и условия хранения: при температуре 2-8°C сохраняют стабильность в течение всего срока годности, указанного на упаковке. Стабильность реагента на борту анализатора при 2-10°C составляет не менее 9 недель.</w:t>
            </w:r>
            <w:r w:rsidRPr="00980CB8">
              <w:br/>
            </w:r>
            <w:r w:rsidRPr="00980CB8">
              <w:br/>
            </w:r>
          </w:p>
        </w:tc>
      </w:tr>
      <w:tr w:rsidR="00966593" w:rsidRPr="00980CB8" w:rsidTr="00780893">
        <w:trPr>
          <w:trHeight w:val="232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16</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лактатдегидрогеназы - ACCENT-300 LDH</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лактатдегидрогеназы в биологическом материале.</w:t>
            </w:r>
            <w:r w:rsidRPr="00980CB8">
              <w:br/>
              <w:t xml:space="preserve">Фасовка: 2x48мл; 1x25,5мл. Реагенты в системных флаконах, предназначенные для непосредственной установки в анализатор. </w:t>
            </w:r>
            <w:r w:rsidRPr="00980CB8">
              <w:br/>
              <w:t>Принцип метода: колориметрический, с ксилидилом.</w:t>
            </w:r>
            <w:r w:rsidRPr="00980CB8">
              <w:br/>
              <w:t>Состав: фосфатный буфер (pH 7,5) не более 50 ммоль/л, пируват не более 0,6 ммоль/л, НAДH не более 0,25 ммоль/л.</w:t>
            </w:r>
            <w:r w:rsidRPr="00980CB8">
              <w:br/>
              <w:t>Чувствительность:  не более 40Ед/л</w:t>
            </w:r>
            <w:r w:rsidRPr="00980CB8">
              <w:br/>
              <w:t xml:space="preserve">Линейность: не менее  1950Ед/л </w:t>
            </w:r>
            <w:r w:rsidRPr="00980CB8">
              <w:br/>
              <w:t>Срок и условия хранения: при температуре 2-8 °C реагенты сохраняют стабильность в течении всего срока годности, указанного на упаковке. Реагенты на борту аппарата при температуре 2-10 °C стабильны не менее 10 недель.</w:t>
            </w:r>
          </w:p>
        </w:tc>
      </w:tr>
      <w:tr w:rsidR="00966593" w:rsidRPr="00980CB8" w:rsidTr="00780893">
        <w:trPr>
          <w:trHeight w:val="274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17</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гамма-глютамилтрансферазы - ACCENT-300 GGT</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2</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гамма-глютамилтрансферазы в биологическом материале.</w:t>
            </w:r>
            <w:r w:rsidRPr="00980CB8">
              <w:br/>
              <w:t xml:space="preserve">Фасовка: 2х48, 1х25,5мл. Реагенты в системных флаконах, предназначенные для непосредственной установки в анализатор. </w:t>
            </w:r>
            <w:r w:rsidRPr="00980CB8">
              <w:br/>
              <w:t>Принцип метода: кинетический, колориметрический, энзиматический  с L-γ-глутамил-3-карбокси-4-нитроанилидом.</w:t>
            </w:r>
            <w:r w:rsidRPr="00980CB8">
              <w:br/>
              <w:t>Состав: Tрис (pH 8,25) не более 100 ммоль/л, глицилглицин не более 100 ммоль/л, L-γ-глютамил-3-карбокси-4-нитроанилид не более 4 ммоль/л.</w:t>
            </w:r>
            <w:r w:rsidRPr="00980CB8">
              <w:br/>
              <w:t xml:space="preserve">Чувствительность: не более 8,5 Ед/л </w:t>
            </w:r>
            <w:r w:rsidRPr="00980CB8">
              <w:br/>
              <w:t xml:space="preserve">Линейность: не менее 550 Ед/л </w:t>
            </w:r>
            <w:r w:rsidRPr="00980CB8">
              <w:br/>
              <w:t xml:space="preserve">Срок и условия хранения: при температуре 2-8 °C реагент сохраняeт стабильность в течение всего срока годности, указанного на упаковке. Стабильность на борту анализатора при 2-10 °C составляет не менее 11 недель. </w:t>
            </w:r>
          </w:p>
        </w:tc>
      </w:tr>
      <w:tr w:rsidR="00966593" w:rsidRPr="00980CB8" w:rsidTr="00780893">
        <w:trPr>
          <w:trHeight w:val="316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18</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холестерина высокой плотности прямым методом - ACCENT-300 HDL DIRECT</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11</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pPr>
              <w:spacing w:after="240"/>
            </w:pPr>
            <w:r w:rsidRPr="00980CB8">
              <w:t>Предназначен для определения холестерина высокой плотности прямым методом в биологическом материале.</w:t>
            </w:r>
            <w:r w:rsidRPr="00980CB8">
              <w:br/>
              <w:t xml:space="preserve">Фасовка: 3х45мл;1х45мл. Реагенты в системных флаконах, предназначенные для непосредственной установки в анализатор. </w:t>
            </w:r>
            <w:r w:rsidRPr="00980CB8">
              <w:br/>
              <w:t>Принцип метода: прямое определение холестерина высокой плотности.</w:t>
            </w:r>
            <w:r w:rsidRPr="00980CB8">
              <w:br/>
              <w:t>Состав: Реагент-1:холестеролэстераза менее 1000Ед/л, пероксидаза менее 1300 Ед/л, N,Т-бис (сульфобутил)-толудин,динатрий менее 1мМ, катализатор менее 1мМ, консерванты менее 0,06%, аскорбат оксидазы  менее 3000ед/л. Реагент2: буфер, холестеролэстераза менее 1500Ед/л,4-аминоантипирин  менее 1мМ, детергент менее 2%,консерванты менее 0,06%.</w:t>
            </w:r>
            <w:r w:rsidRPr="00980CB8">
              <w:br/>
              <w:t>Чувствительность: не более 0,1 ммоль/л</w:t>
            </w:r>
            <w:r w:rsidRPr="00980CB8">
              <w:br/>
              <w:t>Линейность: не менее 6,0 ммоль/л</w:t>
            </w:r>
            <w:r w:rsidRPr="00980CB8">
              <w:br/>
              <w:t>Срок и условия хранения: реагенты стабильны до даты, указанной на упаковке при хранении при 2-8 °C. Реагенты на борту аппарата при температуре 2-10 °C стабильны не менее 12 недель.</w:t>
            </w:r>
          </w:p>
        </w:tc>
      </w:tr>
      <w:tr w:rsidR="00966593" w:rsidRPr="00980CB8" w:rsidTr="00780893">
        <w:trPr>
          <w:trHeight w:val="274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19</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Набор реагентов для определения холестерина низкой плотности прямым методом - ACCENT-300 LDL DIRECT</w:t>
            </w:r>
            <w:r>
              <w:t xml:space="preserve"> (или эквивалент)</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16</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Предназначен для определения холестерина низкой плотности прямым методом в биологическом материале.</w:t>
            </w:r>
            <w:r w:rsidRPr="00980CB8">
              <w:br/>
              <w:t xml:space="preserve">Фасовка: 2х39мл; 1х26мл. Реагенты в системных флаконах, предназначенные для непосредственной установки в анализатор. </w:t>
            </w:r>
            <w:r w:rsidRPr="00980CB8">
              <w:br/>
              <w:t>Принцип метода: прямое определение холестерина низкой плотности.</w:t>
            </w:r>
            <w:r w:rsidRPr="00980CB8">
              <w:br/>
              <w:t>Состав: Реагент1: буфер, детергент менее 1%, холестеролэстераза менее 1500Ед/л, холестеролоксидаза менее 1500Ед/л, пероксидаза менее 1300 Ед/л, 4-аминоантипирин менее 0,1%,оксидаза аскорбиновой кислоты менее 3000Ед/л, консерванты. Реагент-2: буфер, детергент-2 менее 1,0%, N,N-бис (сульфобутил)-тоулидин менее 1,0мМ,  консерванты.</w:t>
            </w:r>
            <w:r w:rsidRPr="00980CB8">
              <w:br/>
              <w:t>Чувствительность: не более 0,5 ммоль/л</w:t>
            </w:r>
            <w:r w:rsidRPr="00980CB8">
              <w:br/>
              <w:t>Линейность: не менее 18,0 ммоль/л</w:t>
            </w:r>
            <w:r w:rsidRPr="00980CB8">
              <w:br/>
              <w:t xml:space="preserve">Срок и условия хранения: при температуре 2-8°C реагенты сохраняют </w:t>
            </w:r>
            <w:r w:rsidRPr="00980CB8">
              <w:lastRenderedPageBreak/>
              <w:t>стабильность в течение всего срока годности, указанного на упаковке.</w:t>
            </w:r>
            <w:r w:rsidRPr="00980CB8">
              <w:br/>
              <w:t>Стабильность на борту анализатора при 2-10°C составляет не менее 12 недель.</w:t>
            </w:r>
          </w:p>
        </w:tc>
      </w:tr>
      <w:tr w:rsidR="00966593" w:rsidRPr="00980CB8" w:rsidTr="00780893">
        <w:trPr>
          <w:trHeight w:val="274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20</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pPr>
              <w:rPr>
                <w:lang w:val="en-US"/>
              </w:rPr>
            </w:pPr>
            <w:r w:rsidRPr="00980CB8">
              <w:t>Мультикалибратор</w:t>
            </w:r>
            <w:r w:rsidRPr="00980CB8">
              <w:rPr>
                <w:lang w:val="en-US"/>
              </w:rPr>
              <w:t xml:space="preserve"> </w:t>
            </w:r>
            <w:r w:rsidRPr="00980CB8">
              <w:t>уровень</w:t>
            </w:r>
            <w:r w:rsidRPr="00980CB8">
              <w:rPr>
                <w:lang w:val="en-US"/>
              </w:rPr>
              <w:t xml:space="preserve"> 1 </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4</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pPr>
              <w:spacing w:after="240"/>
            </w:pPr>
            <w:r w:rsidRPr="00980CB8">
              <w:t>Мультикалибратор 1-уровня предназначен для калибровки ряда биохимических параметров: альбумин, билирубин общий, билирубин прямой, общий белок, холестерин, глюкоза, креатинин, мочевая кислота, мочевина, триглицериды, лактат, амилаза, амилаза панкреатическая, АЛТ, АСТ, холинэстераза, гидроксибутиратдегидрогеназа, ЛДГ, кислая фосфатаза общая, кислая фосфатаза простатическая,  щелочная фосфатаза, гамма-глутамилтрансфераза, креатининкиназа, липаза, цинк, фосфор, магний, медь, кальций, железо, ненасыщенная железосвязывающая способность.</w:t>
            </w:r>
            <w:r w:rsidRPr="00980CB8">
              <w:br/>
              <w:t>Фасовка:10х5мл</w:t>
            </w:r>
            <w:r w:rsidRPr="00980CB8">
              <w:br/>
              <w:t>Состав:лиофилизат с известными значениями концентраций биохимических параметров.</w:t>
            </w:r>
            <w:r w:rsidRPr="00980CB8">
              <w:br/>
              <w:t>Срок и условия хранения: невскрытый калибратор стабилен при 2-8°С в течение всего срока годности, указанного на упаковке. Растворенный калибратор устойчив при температуре  2-8°С - не менее 7 дней, при -20°С  не менее 30 дней.</w:t>
            </w:r>
          </w:p>
        </w:tc>
      </w:tr>
      <w:tr w:rsidR="00966593" w:rsidRPr="00980CB8" w:rsidTr="00780893">
        <w:trPr>
          <w:trHeight w:val="253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21</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pPr>
              <w:rPr>
                <w:lang w:val="en-US"/>
              </w:rPr>
            </w:pPr>
            <w:r w:rsidRPr="00980CB8">
              <w:t>Мультикалибратор</w:t>
            </w:r>
            <w:r w:rsidRPr="00980CB8">
              <w:rPr>
                <w:lang w:val="en-US"/>
              </w:rPr>
              <w:t xml:space="preserve"> </w:t>
            </w:r>
            <w:r w:rsidRPr="00980CB8">
              <w:t>уровень</w:t>
            </w:r>
            <w:r w:rsidRPr="00980CB8">
              <w:rPr>
                <w:lang w:val="en-US"/>
              </w:rPr>
              <w:t xml:space="preserve"> 2 </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4</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 xml:space="preserve">Мультикалибратор 2-уровня предназначен для калибровки ряда биохимических параметров: альбумин, билирубин общий, билирубин прямой, общий белок, холестерин, глюкоза, креатинин, мочевая кислота, мочевина, триглицериды, лактат, амилаза, амилаза панкреатическая, АЛТ, АСТ, холинэстераза, гидроксибутиратдегидрогеназа, ЛДГ, кислая фосфатаза общая, кислая фосфатаза простатическая,  щелочная фосфатаза, гамма-глутамилтрансфераза, </w:t>
            </w:r>
            <w:r w:rsidRPr="00980CB8">
              <w:lastRenderedPageBreak/>
              <w:t>креатининкиназа, липаза, цинк, фосфор, магний, медь, кальций, железо, ненасыщенная железосвязывающая способность.</w:t>
            </w:r>
            <w:r w:rsidRPr="00980CB8">
              <w:br/>
              <w:t>Фасовка: 10х5мл</w:t>
            </w:r>
            <w:r w:rsidRPr="00980CB8">
              <w:br/>
              <w:t>Состав: лиофилизат с известными значениями концентраций биохимических параметров.</w:t>
            </w:r>
            <w:r w:rsidRPr="00980CB8">
              <w:br/>
              <w:t>Срок и условия хранения: невскрытый калибратор стабилен при 2-8°С в течение всего срока годности, указанного на упаковке. Растворенный калибратор устойчив при температуре  2-8°С - не менее 7 дней, при -20°С  не менее 30 дней.</w:t>
            </w:r>
          </w:p>
        </w:tc>
      </w:tr>
      <w:tr w:rsidR="00966593" w:rsidRPr="00980CB8" w:rsidTr="00780893">
        <w:trPr>
          <w:trHeight w:val="295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22</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 xml:space="preserve">Контрольные сыворотки нормальные </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12</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Контрольная сыворотка нормальная предназначена  для проведения контроля качества биохимических исследований на биохимических анализаторах: альбумин, билирубин общий, билирубин прямой, общий белок, холестерин,ЛПВП,ЛПНП, глюкоза, креатинин, мочевая кислота, мочевина, триглицериды, лактат, амилаза, амилаза панкреатическая, АЛТ, АСТ, холинэстераза, ЛДГ, кислая фосфатаза общая, кислая фосфатаза простатическая,  щелочная фосфатаза, гамма-глутамилтрансфераза, креатининкиназа, липаза, цинк, фосфор, магний, медь, кальций, железо,калий, натрий, хлор, ненасыщенная железосвязывающая способность, гамма-гидроксибутиратдегидрогеназа.</w:t>
            </w:r>
            <w:r w:rsidRPr="00980CB8">
              <w:br/>
              <w:t>Фасовка: 4х5мл</w:t>
            </w:r>
            <w:r w:rsidRPr="00980CB8">
              <w:br/>
              <w:t>Состав: концентрация органических и неорганических компонентов, а также активность ферментов, заключенных в контрольном материале, достаточна для проведения контроля качества анализов, производимых на биохимических анализаторах.</w:t>
            </w:r>
            <w:r w:rsidRPr="00980CB8">
              <w:br/>
              <w:t>Срок и условия хранения: невскрытый контрольный материал стабилен при 2-8°С в течение всего срока годности, указанного на упаковке. Растворенный контрольный материал устойчив при температуре  2-8°С - не менее 7 дней, при -20°С не менее 30 дней.</w:t>
            </w:r>
          </w:p>
        </w:tc>
      </w:tr>
      <w:tr w:rsidR="00966593" w:rsidRPr="00980CB8" w:rsidTr="00780893">
        <w:trPr>
          <w:trHeight w:val="337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lastRenderedPageBreak/>
              <w:t>23</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 xml:space="preserve">Контрольные сыворотки патологические </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12</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Контрольная сыворотка патологическая предназначена  для проведения контроля качества биохимических исследований на биохимических анализаторах: альбумин, билирубин общий, билирубин прямой, общий белок, холестерин,ЛПВП,ЛПНП, глюкоза, креатинин, мочевая кислота, мочевина, триглицериды, лактат, амилаза, амилаза панкреатическая, АЛТ, АСТ, холинэстераза, гидроксибутиратдегидрогеназа, ЛДГ, кислая фосфатаза общая, кислая фосфатаза простатическая,  щелочная фосфатаза, гамма-глутамилтрансфераза, креатининкиназа, липаза, цинк, фосфор, магний, медь, кальций, железо,калий, натрий, хлор, ненасыщенная железосвязывающая способность, гамма-гидроксибутиратдегидрогеназа.</w:t>
            </w:r>
            <w:r w:rsidRPr="00980CB8">
              <w:br/>
              <w:t>Фасовка: 4х5мл</w:t>
            </w:r>
            <w:r w:rsidRPr="00980CB8">
              <w:br/>
              <w:t>Принцип метода:Используется для проведения контроля качества биохимических исследований на биохимических анализаторах.</w:t>
            </w:r>
            <w:r w:rsidRPr="00980CB8">
              <w:br/>
              <w:t>Состав: концентрация органических и неорганических компонентов, а также активность ферментов, заключенных в контрольном материале, достаточна для проведения контроля качества анализов, производимых на биохимических анализаторах.</w:t>
            </w:r>
            <w:r w:rsidRPr="00980CB8">
              <w:br/>
              <w:t>Срок и условия хранения: невскрытый контрольный материал стабилен при 2-8°С в течение всего срока годности, указанного на упаковке. Растворенный контрольный материал устойчив при температуре  2-8°С - не менее 7 дней, при -20°С не менее 30 дней.</w:t>
            </w:r>
          </w:p>
        </w:tc>
      </w:tr>
      <w:tr w:rsidR="00966593" w:rsidRPr="00980CB8" w:rsidTr="00780893">
        <w:trPr>
          <w:trHeight w:val="1485"/>
        </w:trPr>
        <w:tc>
          <w:tcPr>
            <w:tcW w:w="226" w:type="pct"/>
            <w:tcBorders>
              <w:top w:val="single" w:sz="4" w:space="0" w:color="auto"/>
              <w:left w:val="single" w:sz="8" w:space="0" w:color="auto"/>
              <w:bottom w:val="single" w:sz="4" w:space="0" w:color="auto"/>
              <w:right w:val="single" w:sz="4" w:space="0" w:color="auto"/>
            </w:tcBorders>
            <w:shd w:val="clear" w:color="auto" w:fill="auto"/>
            <w:noWrap/>
            <w:hideMark/>
          </w:tcPr>
          <w:p w:rsidR="00966593" w:rsidRPr="00980CB8" w:rsidRDefault="00966593" w:rsidP="00780893">
            <w:pPr>
              <w:jc w:val="center"/>
            </w:pPr>
            <w:r w:rsidRPr="00980CB8">
              <w:t>24</w:t>
            </w:r>
          </w:p>
        </w:tc>
        <w:tc>
          <w:tcPr>
            <w:tcW w:w="107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pPr>
              <w:rPr>
                <w:lang w:val="en-US"/>
              </w:rPr>
            </w:pPr>
            <w:r w:rsidRPr="00980CB8">
              <w:t>Кюветы</w:t>
            </w:r>
            <w:r w:rsidRPr="00980CB8">
              <w:rPr>
                <w:lang w:val="en-US"/>
              </w:rPr>
              <w:t xml:space="preserve"> </w:t>
            </w:r>
            <w:r w:rsidRPr="00980CB8">
              <w:t>для</w:t>
            </w:r>
            <w:r w:rsidRPr="00980CB8">
              <w:rPr>
                <w:lang w:val="en-US"/>
              </w:rPr>
              <w:t xml:space="preserve"> ACCENT300 (2500 </w:t>
            </w:r>
            <w:r w:rsidRPr="00980CB8">
              <w:t>шт</w:t>
            </w:r>
            <w:r w:rsidRPr="00980CB8">
              <w:rPr>
                <w:lang w:val="en-US"/>
              </w:rPr>
              <w:t xml:space="preserve">) </w:t>
            </w:r>
          </w:p>
        </w:tc>
        <w:tc>
          <w:tcPr>
            <w:tcW w:w="339"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pPr>
              <w:jc w:val="right"/>
            </w:pPr>
            <w:r w:rsidRPr="00980CB8">
              <w:t>5</w:t>
            </w:r>
          </w:p>
        </w:tc>
        <w:tc>
          <w:tcPr>
            <w:tcW w:w="243" w:type="pct"/>
            <w:tcBorders>
              <w:top w:val="single" w:sz="4" w:space="0" w:color="auto"/>
              <w:left w:val="nil"/>
              <w:bottom w:val="single" w:sz="4" w:space="0" w:color="auto"/>
              <w:right w:val="single" w:sz="4" w:space="0" w:color="auto"/>
            </w:tcBorders>
            <w:shd w:val="clear" w:color="auto" w:fill="auto"/>
            <w:noWrap/>
            <w:hideMark/>
          </w:tcPr>
          <w:p w:rsidR="00966593" w:rsidRPr="00980CB8" w:rsidRDefault="00966593" w:rsidP="00780893">
            <w:r w:rsidRPr="00980CB8">
              <w:t>упак</w:t>
            </w:r>
          </w:p>
        </w:tc>
        <w:tc>
          <w:tcPr>
            <w:tcW w:w="3116" w:type="pct"/>
            <w:tcBorders>
              <w:top w:val="single" w:sz="4" w:space="0" w:color="auto"/>
              <w:left w:val="nil"/>
              <w:bottom w:val="single" w:sz="4" w:space="0" w:color="auto"/>
              <w:right w:val="single" w:sz="4" w:space="0" w:color="auto"/>
            </w:tcBorders>
            <w:shd w:val="clear" w:color="auto" w:fill="auto"/>
            <w:hideMark/>
          </w:tcPr>
          <w:p w:rsidR="00966593" w:rsidRPr="00980CB8" w:rsidRDefault="00966593" w:rsidP="00780893">
            <w:r w:rsidRPr="00980CB8">
              <w:t xml:space="preserve">Реакционные кюветы. </w:t>
            </w:r>
            <w:r w:rsidRPr="00980CB8">
              <w:br/>
              <w:t>Используются в автоматическом биохимическом анализаторе ACCENT 300.</w:t>
            </w:r>
            <w:r w:rsidRPr="00980CB8">
              <w:br/>
              <w:t xml:space="preserve">Материал-полипропилен. </w:t>
            </w:r>
            <w:r w:rsidRPr="00980CB8">
              <w:br/>
              <w:t xml:space="preserve">Фасовка:   не менее 2500 кювет (не менее 250 стрипов , каждый запаянный в индивидуальную стерильную упаковку по не менее 10 кювет) </w:t>
            </w:r>
            <w:r w:rsidRPr="00980CB8">
              <w:br/>
              <w:t xml:space="preserve">Размер кюветы: 5мм×6мм×25мм, объем 750 мкл. </w:t>
            </w:r>
            <w:r w:rsidRPr="00980CB8">
              <w:br/>
              <w:t>Размеры стрипа:  высота 25 мм, ширина 10мм, длина 100 мм</w:t>
            </w:r>
          </w:p>
        </w:tc>
      </w:tr>
    </w:tbl>
    <w:p w:rsidR="00966593" w:rsidRDefault="00966593" w:rsidP="00966593">
      <w:pPr>
        <w:jc w:val="both"/>
      </w:pPr>
    </w:p>
    <w:p w:rsidR="00966593" w:rsidRDefault="00966593" w:rsidP="00966593">
      <w:pPr>
        <w:jc w:val="both"/>
      </w:pPr>
    </w:p>
    <w:p w:rsidR="00966593" w:rsidRDefault="00966593" w:rsidP="00966593">
      <w:pPr>
        <w:jc w:val="both"/>
      </w:pPr>
    </w:p>
    <w:p w:rsidR="00966593" w:rsidRDefault="00966593" w:rsidP="00966593">
      <w:pPr>
        <w:jc w:val="both"/>
      </w:pPr>
    </w:p>
    <w:p w:rsidR="00966593" w:rsidRPr="00B23A44" w:rsidRDefault="00966593" w:rsidP="00966593">
      <w:pPr>
        <w:pStyle w:val="ConsPlusNormal"/>
        <w:widowControl/>
        <w:tabs>
          <w:tab w:val="left" w:pos="1695"/>
        </w:tabs>
        <w:ind w:firstLine="0"/>
        <w:jc w:val="center"/>
        <w:rPr>
          <w:rFonts w:ascii="Open Sans" w:hAnsi="Open Sans" w:cs="Open Sans"/>
          <w:b/>
          <w:sz w:val="24"/>
          <w:szCs w:val="24"/>
        </w:rPr>
      </w:pPr>
    </w:p>
    <w:p w:rsidR="00966593" w:rsidRPr="00E90BE2" w:rsidRDefault="00966593" w:rsidP="00966593">
      <w:pPr>
        <w:pStyle w:val="3"/>
        <w:spacing w:before="0" w:after="0"/>
        <w:rPr>
          <w:rFonts w:ascii="Times New Roman" w:hAnsi="Times New Roman"/>
          <w:sz w:val="22"/>
          <w:szCs w:val="22"/>
        </w:rPr>
      </w:pPr>
      <w:r w:rsidRPr="00E90BE2">
        <w:rPr>
          <w:rFonts w:ascii="Times New Roman" w:hAnsi="Times New Roman"/>
          <w:sz w:val="22"/>
          <w:szCs w:val="22"/>
        </w:rPr>
        <w:t xml:space="preserve">Требования к безопасности, качеству, техническим характеристикам, функциональным характеристикам товара: </w:t>
      </w:r>
    </w:p>
    <w:p w:rsidR="00966593" w:rsidRDefault="00966593" w:rsidP="00966593">
      <w:pPr>
        <w:shd w:val="clear" w:color="auto" w:fill="FFFFFF"/>
        <w:jc w:val="both"/>
        <w:rPr>
          <w:rFonts w:ascii="yandex-sans" w:hAnsi="yandex-sans"/>
          <w:color w:val="000000"/>
          <w:sz w:val="23"/>
          <w:szCs w:val="23"/>
        </w:rPr>
      </w:pPr>
    </w:p>
    <w:p w:rsidR="00966593" w:rsidRPr="00D61A60" w:rsidRDefault="00966593" w:rsidP="00966593">
      <w:pPr>
        <w:jc w:val="both"/>
        <w:rPr>
          <w:rFonts w:ascii="yandex-sans" w:hAnsi="yandex-sans"/>
          <w:color w:val="000000"/>
          <w:sz w:val="23"/>
          <w:szCs w:val="23"/>
        </w:rPr>
      </w:pPr>
      <w:r>
        <w:rPr>
          <w:color w:val="000000"/>
        </w:rPr>
        <w:t xml:space="preserve">Приобретаемые реагенты и расходные материалы должны быть совместимы с </w:t>
      </w:r>
      <w:r>
        <w:rPr>
          <w:bCs/>
        </w:rPr>
        <w:t>биохимическим</w:t>
      </w:r>
      <w:r w:rsidRPr="001A5583">
        <w:rPr>
          <w:bCs/>
        </w:rPr>
        <w:t xml:space="preserve"> </w:t>
      </w:r>
      <w:r>
        <w:rPr>
          <w:bCs/>
        </w:rPr>
        <w:t>анализатором</w:t>
      </w:r>
      <w:r w:rsidRPr="001A5583">
        <w:rPr>
          <w:bCs/>
        </w:rPr>
        <w:t xml:space="preserve"> «</w:t>
      </w:r>
      <w:r w:rsidRPr="001A5583">
        <w:rPr>
          <w:bCs/>
          <w:lang w:val="en-US"/>
        </w:rPr>
        <w:t>ACCENT</w:t>
      </w:r>
      <w:r w:rsidRPr="001A5583">
        <w:rPr>
          <w:bCs/>
        </w:rPr>
        <w:t xml:space="preserve"> 300»</w:t>
      </w:r>
      <w:r>
        <w:rPr>
          <w:bCs/>
        </w:rPr>
        <w:t>.</w:t>
      </w:r>
      <w:r>
        <w:rPr>
          <w:b/>
          <w:bCs/>
        </w:rPr>
        <w:t xml:space="preserve"> </w:t>
      </w:r>
      <w:r w:rsidRPr="00182E38">
        <w:rPr>
          <w:color w:val="000000"/>
        </w:rPr>
        <w:t xml:space="preserve">Приобретаемый товар должен иметь </w:t>
      </w:r>
      <w:r>
        <w:rPr>
          <w:color w:val="000000"/>
        </w:rPr>
        <w:t xml:space="preserve">регистрационные </w:t>
      </w:r>
      <w:r w:rsidRPr="00182E38">
        <w:rPr>
          <w:color w:val="000000"/>
        </w:rPr>
        <w:t>удостоверения</w:t>
      </w:r>
      <w:r>
        <w:rPr>
          <w:color w:val="000000"/>
        </w:rPr>
        <w:t>, сертификаты</w:t>
      </w:r>
      <w:r w:rsidRPr="00182E38">
        <w:rPr>
          <w:color w:val="000000"/>
        </w:rPr>
        <w:t xml:space="preserve"> </w:t>
      </w:r>
      <w:r>
        <w:rPr>
          <w:color w:val="000000"/>
        </w:rPr>
        <w:t>и другие необходимые документы на каждую партию поставки.</w:t>
      </w:r>
      <w:r w:rsidRPr="00764CE2">
        <w:t xml:space="preserve"> </w:t>
      </w:r>
      <w:r>
        <w:t>Срок годности Товара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966593" w:rsidRPr="001344A5" w:rsidRDefault="00966593" w:rsidP="00966593">
      <w:pPr>
        <w:pStyle w:val="ConsPlusNormal"/>
        <w:widowControl/>
        <w:tabs>
          <w:tab w:val="left" w:pos="5505"/>
        </w:tabs>
        <w:ind w:firstLine="0"/>
        <w:jc w:val="both"/>
        <w:rPr>
          <w:rFonts w:ascii="Times New Roman" w:hAnsi="Times New Roman" w:cs="Times New Roman"/>
          <w:b/>
          <w:snapToGrid w:val="0"/>
          <w:color w:val="000000"/>
          <w:sz w:val="22"/>
          <w:szCs w:val="22"/>
        </w:rPr>
      </w:pPr>
    </w:p>
    <w:p w:rsidR="00966593" w:rsidRPr="001344A5" w:rsidRDefault="00966593" w:rsidP="00966593">
      <w:pPr>
        <w:pStyle w:val="ConsPlusNormal"/>
        <w:widowControl/>
        <w:tabs>
          <w:tab w:val="left" w:pos="5505"/>
        </w:tabs>
        <w:ind w:firstLine="0"/>
        <w:jc w:val="both"/>
        <w:rPr>
          <w:rFonts w:ascii="Times New Roman" w:hAnsi="Times New Roman" w:cs="Times New Roman"/>
          <w:b/>
          <w:snapToGrid w:val="0"/>
          <w:color w:val="000000"/>
          <w:sz w:val="22"/>
          <w:szCs w:val="22"/>
        </w:rPr>
      </w:pPr>
      <w:r w:rsidRPr="001344A5">
        <w:rPr>
          <w:rFonts w:ascii="Times New Roman" w:hAnsi="Times New Roman" w:cs="Times New Roman"/>
          <w:b/>
          <w:snapToGrid w:val="0"/>
          <w:color w:val="000000"/>
          <w:sz w:val="22"/>
          <w:szCs w:val="22"/>
        </w:rPr>
        <w:t>Место поставки товара:</w:t>
      </w:r>
      <w:r w:rsidRPr="001344A5">
        <w:rPr>
          <w:sz w:val="22"/>
          <w:szCs w:val="22"/>
        </w:rPr>
        <w:t xml:space="preserve"> </w:t>
      </w:r>
      <w:r w:rsidRPr="006C57A4">
        <w:rPr>
          <w:rFonts w:ascii="Times New Roman" w:hAnsi="Times New Roman" w:cs="Times New Roman"/>
          <w:sz w:val="22"/>
          <w:szCs w:val="22"/>
        </w:rPr>
        <w:t>414041, г. Астрахань, ул. Сун Ят-Сена, д. 62</w:t>
      </w:r>
    </w:p>
    <w:p w:rsidR="00966593" w:rsidRPr="001344A5" w:rsidRDefault="00966593" w:rsidP="00966593">
      <w:pPr>
        <w:pStyle w:val="a3"/>
        <w:rPr>
          <w:bCs/>
          <w:sz w:val="22"/>
          <w:szCs w:val="22"/>
          <w:u w:val="single"/>
        </w:rPr>
      </w:pPr>
    </w:p>
    <w:p w:rsidR="00966593" w:rsidRPr="00F01F56" w:rsidRDefault="00966593" w:rsidP="00966593">
      <w:pPr>
        <w:pStyle w:val="a3"/>
        <w:rPr>
          <w:sz w:val="22"/>
          <w:szCs w:val="22"/>
        </w:rPr>
      </w:pPr>
      <w:r w:rsidRPr="00F01F56">
        <w:rPr>
          <w:b/>
          <w:bCs/>
          <w:sz w:val="22"/>
          <w:szCs w:val="22"/>
        </w:rPr>
        <w:t>Сроки  поставки товара:</w:t>
      </w:r>
      <w:r>
        <w:rPr>
          <w:sz w:val="22"/>
          <w:szCs w:val="22"/>
        </w:rPr>
        <w:t xml:space="preserve"> </w:t>
      </w:r>
    </w:p>
    <w:p w:rsidR="00966593" w:rsidRDefault="00966593" w:rsidP="00966593">
      <w:pPr>
        <w:jc w:val="both"/>
      </w:pPr>
      <w:r>
        <w:t xml:space="preserve">- общий срок поставки: в течение 5 рабочих дней </w:t>
      </w:r>
      <w:r w:rsidRPr="00182E38">
        <w:rPr>
          <w:color w:val="000000"/>
        </w:rPr>
        <w:t xml:space="preserve">с момента получения заявки от </w:t>
      </w:r>
      <w:r>
        <w:rPr>
          <w:color w:val="000000"/>
        </w:rPr>
        <w:t>Заказчика</w:t>
      </w:r>
      <w:r w:rsidRPr="00182E38">
        <w:rPr>
          <w:color w:val="000000"/>
        </w:rPr>
        <w:t>, направленной посредством автоматизированной системы заказов «Электронный ордер»</w:t>
      </w:r>
      <w:r>
        <w:t>.</w:t>
      </w:r>
    </w:p>
    <w:p w:rsidR="00966593" w:rsidRPr="000112CF" w:rsidRDefault="00966593" w:rsidP="00966593">
      <w:pPr>
        <w:pStyle w:val="a5"/>
        <w:widowControl w:val="0"/>
        <w:overflowPunct w:val="0"/>
        <w:autoSpaceDE w:val="0"/>
        <w:autoSpaceDN w:val="0"/>
        <w:adjustRightInd w:val="0"/>
        <w:spacing w:after="0"/>
        <w:textAlignment w:val="baseline"/>
        <w:rPr>
          <w:b/>
          <w:bCs/>
          <w:sz w:val="22"/>
          <w:szCs w:val="22"/>
        </w:rPr>
      </w:pPr>
      <w:r>
        <w:rPr>
          <w:rFonts w:eastAsia="Calibri"/>
          <w:kern w:val="1"/>
          <w:lang w:eastAsia="ar-SA"/>
        </w:rPr>
        <w:t>- п</w:t>
      </w:r>
      <w:r w:rsidRPr="000112CF">
        <w:rPr>
          <w:rFonts w:eastAsia="Calibri"/>
          <w:kern w:val="1"/>
          <w:lang w:eastAsia="ar-SA"/>
        </w:rPr>
        <w:t>оставщик заблаг</w:t>
      </w:r>
      <w:r>
        <w:rPr>
          <w:rFonts w:eastAsia="Calibri"/>
          <w:kern w:val="1"/>
          <w:lang w:eastAsia="ar-SA"/>
        </w:rPr>
        <w:t>овременно (не позднее, чем за 48 (сорок восемь) часов</w:t>
      </w:r>
      <w:r w:rsidRPr="000112CF">
        <w:rPr>
          <w:rFonts w:eastAsia="Calibri"/>
          <w:kern w:val="1"/>
          <w:lang w:eastAsia="ar-SA"/>
        </w:rPr>
        <w:t xml:space="preserve"> до предполагаемой даты) уведомляет </w:t>
      </w:r>
      <w:r>
        <w:rPr>
          <w:rFonts w:eastAsia="Calibri"/>
          <w:kern w:val="1"/>
          <w:lang w:eastAsia="ar-SA"/>
        </w:rPr>
        <w:t>Заказчика</w:t>
      </w:r>
      <w:r w:rsidRPr="000112CF">
        <w:rPr>
          <w:rFonts w:eastAsia="Calibri"/>
          <w:kern w:val="1"/>
          <w:lang w:eastAsia="ar-SA"/>
        </w:rPr>
        <w:t xml:space="preserve"> о дате и времени  поставки и необходимости </w:t>
      </w:r>
      <w:r>
        <w:rPr>
          <w:rFonts w:eastAsia="Calibri"/>
          <w:kern w:val="1"/>
          <w:lang w:eastAsia="ar-SA"/>
        </w:rPr>
        <w:t>Заказчику</w:t>
      </w:r>
      <w:r w:rsidRPr="000112CF">
        <w:rPr>
          <w:rFonts w:eastAsia="Calibri"/>
          <w:kern w:val="1"/>
          <w:lang w:eastAsia="ar-SA"/>
        </w:rPr>
        <w:t xml:space="preserve"> осуществить  приемку </w:t>
      </w:r>
      <w:r>
        <w:rPr>
          <w:rFonts w:eastAsia="Calibri"/>
          <w:kern w:val="1"/>
          <w:lang w:eastAsia="ar-SA"/>
        </w:rPr>
        <w:t>т</w:t>
      </w:r>
      <w:r w:rsidRPr="000112CF">
        <w:rPr>
          <w:rFonts w:eastAsia="Calibri"/>
          <w:kern w:val="1"/>
          <w:lang w:eastAsia="ar-SA"/>
        </w:rPr>
        <w:t>овара и сообщает следующие сведения:</w:t>
      </w:r>
    </w:p>
    <w:p w:rsidR="00966593" w:rsidRPr="000112CF" w:rsidRDefault="00966593" w:rsidP="00966593">
      <w:pPr>
        <w:shd w:val="clear" w:color="auto" w:fill="FFFFFF"/>
        <w:suppressAutoHyphens/>
        <w:spacing w:line="280" w:lineRule="exact"/>
        <w:ind w:firstLine="720"/>
        <w:jc w:val="both"/>
        <w:rPr>
          <w:rFonts w:eastAsia="Calibri"/>
          <w:spacing w:val="5"/>
          <w:kern w:val="1"/>
          <w:lang w:eastAsia="ar-SA"/>
        </w:rPr>
      </w:pPr>
      <w:r w:rsidRPr="000112CF">
        <w:rPr>
          <w:rFonts w:eastAsia="Calibri"/>
          <w:spacing w:val="5"/>
          <w:kern w:val="1"/>
          <w:lang w:eastAsia="ar-SA"/>
        </w:rPr>
        <w:t>номер Договора;</w:t>
      </w:r>
    </w:p>
    <w:p w:rsidR="00966593" w:rsidRPr="000112CF" w:rsidRDefault="00966593" w:rsidP="00966593">
      <w:pPr>
        <w:shd w:val="clear" w:color="auto" w:fill="FFFFFF"/>
        <w:suppressAutoHyphens/>
        <w:spacing w:line="280" w:lineRule="exact"/>
        <w:ind w:firstLine="720"/>
        <w:jc w:val="both"/>
        <w:rPr>
          <w:rFonts w:eastAsia="Calibri"/>
          <w:spacing w:val="5"/>
          <w:kern w:val="1"/>
          <w:lang w:eastAsia="ar-SA"/>
        </w:rPr>
      </w:pPr>
      <w:r w:rsidRPr="000112CF">
        <w:rPr>
          <w:rFonts w:eastAsia="Calibri"/>
          <w:spacing w:val="5"/>
          <w:kern w:val="1"/>
          <w:lang w:eastAsia="ar-SA"/>
        </w:rPr>
        <w:t>номер товарной накладной формы (ТОРГ-12);</w:t>
      </w:r>
    </w:p>
    <w:p w:rsidR="00966593" w:rsidRPr="000112CF" w:rsidRDefault="00966593" w:rsidP="00966593">
      <w:pPr>
        <w:shd w:val="clear" w:color="auto" w:fill="FFFFFF"/>
        <w:suppressAutoHyphens/>
        <w:spacing w:line="280" w:lineRule="exact"/>
        <w:ind w:firstLine="720"/>
        <w:jc w:val="both"/>
        <w:rPr>
          <w:rFonts w:eastAsia="Calibri"/>
          <w:spacing w:val="5"/>
          <w:kern w:val="1"/>
          <w:lang w:eastAsia="ar-SA"/>
        </w:rPr>
      </w:pPr>
      <w:r w:rsidRPr="000112CF">
        <w:rPr>
          <w:rFonts w:eastAsia="Calibri"/>
          <w:spacing w:val="5"/>
          <w:kern w:val="1"/>
          <w:lang w:eastAsia="ar-SA"/>
        </w:rPr>
        <w:t>наименование Товара;</w:t>
      </w:r>
    </w:p>
    <w:p w:rsidR="00966593" w:rsidRPr="000112CF" w:rsidRDefault="00966593" w:rsidP="00966593">
      <w:pPr>
        <w:shd w:val="clear" w:color="auto" w:fill="FFFFFF"/>
        <w:suppressAutoHyphens/>
        <w:spacing w:line="280" w:lineRule="exact"/>
        <w:ind w:firstLine="720"/>
        <w:jc w:val="both"/>
        <w:rPr>
          <w:rFonts w:eastAsia="Calibri"/>
          <w:spacing w:val="5"/>
          <w:kern w:val="1"/>
          <w:lang w:eastAsia="ar-SA"/>
        </w:rPr>
      </w:pPr>
      <w:r w:rsidRPr="000112CF">
        <w:rPr>
          <w:rFonts w:eastAsia="Calibri"/>
          <w:spacing w:val="5"/>
          <w:kern w:val="1"/>
          <w:lang w:eastAsia="ar-SA"/>
        </w:rPr>
        <w:t>упаковочный лист;</w:t>
      </w:r>
    </w:p>
    <w:p w:rsidR="00966593" w:rsidRPr="000112CF" w:rsidRDefault="00966593" w:rsidP="00966593">
      <w:pPr>
        <w:shd w:val="clear" w:color="auto" w:fill="FFFFFF"/>
        <w:suppressAutoHyphens/>
        <w:spacing w:line="280" w:lineRule="exact"/>
        <w:ind w:firstLine="720"/>
        <w:jc w:val="both"/>
        <w:rPr>
          <w:rFonts w:eastAsia="Calibri"/>
          <w:spacing w:val="5"/>
          <w:kern w:val="1"/>
          <w:lang w:eastAsia="ar-SA"/>
        </w:rPr>
      </w:pPr>
      <w:r w:rsidRPr="000112CF">
        <w:rPr>
          <w:rFonts w:eastAsia="Calibri"/>
          <w:spacing w:val="5"/>
          <w:kern w:val="1"/>
          <w:lang w:eastAsia="ar-SA"/>
        </w:rPr>
        <w:t>дату отгрузки;</w:t>
      </w:r>
    </w:p>
    <w:p w:rsidR="00966593" w:rsidRPr="000112CF" w:rsidRDefault="00966593" w:rsidP="00966593">
      <w:pPr>
        <w:shd w:val="clear" w:color="auto" w:fill="FFFFFF"/>
        <w:suppressAutoHyphens/>
        <w:spacing w:line="280" w:lineRule="exact"/>
        <w:ind w:firstLine="720"/>
        <w:jc w:val="both"/>
        <w:rPr>
          <w:rFonts w:eastAsia="Calibri"/>
          <w:spacing w:val="5"/>
          <w:kern w:val="1"/>
          <w:lang w:eastAsia="ar-SA"/>
        </w:rPr>
      </w:pPr>
      <w:r w:rsidRPr="000112CF">
        <w:rPr>
          <w:rFonts w:eastAsia="Calibri"/>
          <w:spacing w:val="5"/>
          <w:kern w:val="1"/>
          <w:lang w:eastAsia="ar-SA"/>
        </w:rPr>
        <w:t>количество мест;</w:t>
      </w:r>
    </w:p>
    <w:p w:rsidR="00966593" w:rsidRPr="000112CF" w:rsidRDefault="00966593" w:rsidP="00966593">
      <w:pPr>
        <w:shd w:val="clear" w:color="auto" w:fill="FFFFFF"/>
        <w:suppressAutoHyphens/>
        <w:spacing w:line="280" w:lineRule="exact"/>
        <w:ind w:firstLine="720"/>
        <w:jc w:val="both"/>
        <w:rPr>
          <w:rFonts w:eastAsia="Calibri"/>
          <w:kern w:val="1"/>
          <w:lang w:eastAsia="ar-SA"/>
        </w:rPr>
      </w:pPr>
      <w:r w:rsidRPr="000112CF">
        <w:rPr>
          <w:rFonts w:eastAsia="Calibri"/>
          <w:spacing w:val="5"/>
          <w:kern w:val="1"/>
          <w:lang w:eastAsia="ar-SA"/>
        </w:rPr>
        <w:t>вес нетто и вес брутто.</w:t>
      </w:r>
    </w:p>
    <w:p w:rsidR="00966593" w:rsidRDefault="00966593" w:rsidP="00966593">
      <w:pPr>
        <w:suppressAutoHyphens/>
        <w:spacing w:line="280" w:lineRule="exact"/>
        <w:jc w:val="both"/>
        <w:rPr>
          <w:rFonts w:eastAsia="Calibri"/>
          <w:kern w:val="1"/>
          <w:lang w:eastAsia="ar-SA"/>
        </w:rPr>
      </w:pPr>
      <w:r w:rsidRPr="000112CF">
        <w:rPr>
          <w:rFonts w:eastAsia="Calibri"/>
          <w:kern w:val="1"/>
          <w:lang w:eastAsia="ar-SA"/>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w:t>
      </w:r>
      <w:r>
        <w:rPr>
          <w:rFonts w:eastAsia="Calibri"/>
          <w:kern w:val="1"/>
          <w:lang w:eastAsia="ar-SA"/>
        </w:rPr>
        <w:t>но уполномоченным представителем</w:t>
      </w:r>
      <w:r w:rsidRPr="000112CF">
        <w:rPr>
          <w:rFonts w:eastAsia="Calibri"/>
          <w:kern w:val="1"/>
          <w:lang w:eastAsia="ar-SA"/>
        </w:rPr>
        <w:t xml:space="preserve"> </w:t>
      </w:r>
      <w:r>
        <w:rPr>
          <w:rFonts w:eastAsia="Calibri"/>
          <w:kern w:val="1"/>
          <w:lang w:eastAsia="ar-SA"/>
        </w:rPr>
        <w:t>Покупателя</w:t>
      </w:r>
      <w:r w:rsidRPr="000112CF">
        <w:rPr>
          <w:rFonts w:eastAsia="Calibri"/>
          <w:kern w:val="1"/>
          <w:lang w:eastAsia="ar-SA"/>
        </w:rPr>
        <w:t>.</w:t>
      </w:r>
    </w:p>
    <w:p w:rsidR="00406E32" w:rsidRDefault="00406E32" w:rsidP="00406E32">
      <w:pPr>
        <w:suppressAutoHyphens/>
        <w:spacing w:line="280" w:lineRule="exact"/>
        <w:jc w:val="both"/>
        <w:rPr>
          <w:rFonts w:eastAsia="Calibri"/>
          <w:kern w:val="1"/>
          <w:lang w:eastAsia="ar-SA"/>
        </w:rPr>
      </w:pPr>
    </w:p>
    <w:p w:rsidR="009D0E52" w:rsidRPr="00182E38" w:rsidRDefault="009D0E52" w:rsidP="009D0E52">
      <w:pPr>
        <w:pStyle w:val="a3"/>
        <w:rPr>
          <w:b/>
          <w:snapToGrid w:val="0"/>
          <w:color w:val="000000"/>
        </w:rPr>
      </w:pPr>
    </w:p>
    <w:p w:rsidR="00FB4A0E" w:rsidRPr="00182E38" w:rsidRDefault="00FB4A0E" w:rsidP="00FB4A0E">
      <w:pPr>
        <w:pStyle w:val="a3"/>
        <w:rPr>
          <w:b/>
          <w:snapToGrid w:val="0"/>
          <w:color w:val="000000"/>
        </w:rPr>
      </w:pPr>
    </w:p>
    <w:p w:rsidR="008612DD" w:rsidRPr="00182E38" w:rsidRDefault="008612DD" w:rsidP="008612DD">
      <w:pPr>
        <w:pStyle w:val="a3"/>
        <w:rPr>
          <w:b/>
          <w:snapToGrid w:val="0"/>
          <w:color w:val="000000"/>
        </w:rPr>
      </w:pPr>
    </w:p>
    <w:p w:rsidR="008612DD" w:rsidRPr="00182E38" w:rsidRDefault="008612DD" w:rsidP="008612DD">
      <w:pPr>
        <w:pStyle w:val="a3"/>
        <w:rPr>
          <w:snapToGrid w:val="0"/>
          <w:color w:val="000000"/>
        </w:rPr>
      </w:pPr>
    </w:p>
    <w:p w:rsidR="00F255EC" w:rsidRPr="00182E38" w:rsidRDefault="00F255EC" w:rsidP="00182E38"/>
    <w:sectPr w:rsidR="00F255EC" w:rsidRPr="00182E38" w:rsidSect="00F25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Arial"/>
    <w:charset w:val="CC"/>
    <w:family w:val="swiss"/>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4CB"/>
    <w:multiLevelType w:val="hybridMultilevel"/>
    <w:tmpl w:val="89005814"/>
    <w:lvl w:ilvl="0" w:tplc="0419000F">
      <w:start w:val="1"/>
      <w:numFmt w:val="decimal"/>
      <w:lvlText w:val="%1."/>
      <w:lvlJc w:val="left"/>
      <w:pPr>
        <w:tabs>
          <w:tab w:val="num" w:pos="1141"/>
        </w:tabs>
        <w:ind w:left="1141" w:hanging="360"/>
      </w:pPr>
      <w:rPr>
        <w:rFonts w:hint="default"/>
      </w:rPr>
    </w:lvl>
    <w:lvl w:ilvl="1" w:tplc="E5EE6FDC">
      <w:start w:val="1"/>
      <w:numFmt w:val="decimal"/>
      <w:lvlText w:val="%2."/>
      <w:lvlJc w:val="left"/>
      <w:pPr>
        <w:tabs>
          <w:tab w:val="num" w:pos="1861"/>
        </w:tabs>
        <w:ind w:left="1861" w:hanging="360"/>
      </w:pPr>
      <w:rPr>
        <w:rFonts w:hint="default"/>
      </w:r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nsid w:val="0C6C3E71"/>
    <w:multiLevelType w:val="hybridMultilevel"/>
    <w:tmpl w:val="486CB5D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2">
    <w:nsid w:val="0EBB51C5"/>
    <w:multiLevelType w:val="hybridMultilevel"/>
    <w:tmpl w:val="73BC5734"/>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180825"/>
    <w:multiLevelType w:val="hybridMultilevel"/>
    <w:tmpl w:val="69FEA902"/>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B2006F"/>
    <w:multiLevelType w:val="hybridMultilevel"/>
    <w:tmpl w:val="8C2AA23C"/>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5">
    <w:nsid w:val="418126E6"/>
    <w:multiLevelType w:val="hybridMultilevel"/>
    <w:tmpl w:val="FB5806F0"/>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3F138F"/>
    <w:multiLevelType w:val="hybridMultilevel"/>
    <w:tmpl w:val="26B6967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7">
    <w:nsid w:val="6A5216B0"/>
    <w:multiLevelType w:val="hybridMultilevel"/>
    <w:tmpl w:val="FDC0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42348"/>
    <w:multiLevelType w:val="hybridMultilevel"/>
    <w:tmpl w:val="866422DE"/>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EC5C47"/>
    <w:multiLevelType w:val="hybridMultilevel"/>
    <w:tmpl w:val="BEEE5E76"/>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2"/>
  </w:num>
  <w:num w:numId="5">
    <w:abstractNumId w:val="10"/>
  </w:num>
  <w:num w:numId="6">
    <w:abstractNumId w:val="3"/>
  </w:num>
  <w:num w:numId="7">
    <w:abstractNumId w:val="1"/>
  </w:num>
  <w:num w:numId="8">
    <w:abstractNumId w:val="6"/>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rsids>
    <w:rsidRoot w:val="000644E9"/>
    <w:rsid w:val="000309DA"/>
    <w:rsid w:val="00030E81"/>
    <w:rsid w:val="000438D5"/>
    <w:rsid w:val="00057EF3"/>
    <w:rsid w:val="000644E9"/>
    <w:rsid w:val="00081D28"/>
    <w:rsid w:val="00095924"/>
    <w:rsid w:val="000B00D0"/>
    <w:rsid w:val="000B18F0"/>
    <w:rsid w:val="001042EA"/>
    <w:rsid w:val="00106601"/>
    <w:rsid w:val="0011543B"/>
    <w:rsid w:val="00182E38"/>
    <w:rsid w:val="00206A0D"/>
    <w:rsid w:val="00215425"/>
    <w:rsid w:val="00247DBF"/>
    <w:rsid w:val="00255A8E"/>
    <w:rsid w:val="00262047"/>
    <w:rsid w:val="002E72D8"/>
    <w:rsid w:val="00340015"/>
    <w:rsid w:val="00372DEC"/>
    <w:rsid w:val="00393351"/>
    <w:rsid w:val="003A52B0"/>
    <w:rsid w:val="003C7356"/>
    <w:rsid w:val="003D2383"/>
    <w:rsid w:val="003E6B20"/>
    <w:rsid w:val="00406E32"/>
    <w:rsid w:val="00444CC8"/>
    <w:rsid w:val="00453960"/>
    <w:rsid w:val="0045517F"/>
    <w:rsid w:val="00461ACE"/>
    <w:rsid w:val="004E69E6"/>
    <w:rsid w:val="004F6BA2"/>
    <w:rsid w:val="00511507"/>
    <w:rsid w:val="00570E8B"/>
    <w:rsid w:val="00576F80"/>
    <w:rsid w:val="00593398"/>
    <w:rsid w:val="005D7EDA"/>
    <w:rsid w:val="005E72F5"/>
    <w:rsid w:val="006359FA"/>
    <w:rsid w:val="00646E77"/>
    <w:rsid w:val="00660E2A"/>
    <w:rsid w:val="00680071"/>
    <w:rsid w:val="006F60A3"/>
    <w:rsid w:val="00705BE5"/>
    <w:rsid w:val="00735861"/>
    <w:rsid w:val="007801A1"/>
    <w:rsid w:val="007A0042"/>
    <w:rsid w:val="007C4E67"/>
    <w:rsid w:val="007F78D0"/>
    <w:rsid w:val="0082634D"/>
    <w:rsid w:val="008612DD"/>
    <w:rsid w:val="00875FBB"/>
    <w:rsid w:val="00896DD5"/>
    <w:rsid w:val="008B49A0"/>
    <w:rsid w:val="008D26AF"/>
    <w:rsid w:val="008E33EB"/>
    <w:rsid w:val="008E68A8"/>
    <w:rsid w:val="009210B3"/>
    <w:rsid w:val="0095667B"/>
    <w:rsid w:val="00966593"/>
    <w:rsid w:val="009D0E52"/>
    <w:rsid w:val="00A44EF5"/>
    <w:rsid w:val="00AA0F9C"/>
    <w:rsid w:val="00AA22F2"/>
    <w:rsid w:val="00AB12B5"/>
    <w:rsid w:val="00AF144E"/>
    <w:rsid w:val="00B23C8E"/>
    <w:rsid w:val="00B651E6"/>
    <w:rsid w:val="00C67AA6"/>
    <w:rsid w:val="00CA3645"/>
    <w:rsid w:val="00CE66B0"/>
    <w:rsid w:val="00D01DDE"/>
    <w:rsid w:val="00D24EFD"/>
    <w:rsid w:val="00D52F02"/>
    <w:rsid w:val="00D70664"/>
    <w:rsid w:val="00D83145"/>
    <w:rsid w:val="00D9128B"/>
    <w:rsid w:val="00DC6CEE"/>
    <w:rsid w:val="00DD37E3"/>
    <w:rsid w:val="00DF7EE2"/>
    <w:rsid w:val="00E0066B"/>
    <w:rsid w:val="00E33AA8"/>
    <w:rsid w:val="00EA0DED"/>
    <w:rsid w:val="00ED644A"/>
    <w:rsid w:val="00EE7927"/>
    <w:rsid w:val="00F05B34"/>
    <w:rsid w:val="00F255EC"/>
    <w:rsid w:val="00F320B5"/>
    <w:rsid w:val="00F569B1"/>
    <w:rsid w:val="00F62CE5"/>
    <w:rsid w:val="00F6654C"/>
    <w:rsid w:val="00FB4A0E"/>
    <w:rsid w:val="00FC627F"/>
    <w:rsid w:val="00FD2C3F"/>
    <w:rsid w:val="00FD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2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82E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2E38"/>
    <w:rPr>
      <w:rFonts w:ascii="Cambria" w:eastAsia="Times New Roman" w:hAnsi="Cambria" w:cs="Times New Roman"/>
      <w:b/>
      <w:bCs/>
      <w:sz w:val="26"/>
      <w:szCs w:val="26"/>
    </w:rPr>
  </w:style>
  <w:style w:type="paragraph" w:styleId="a3">
    <w:name w:val="Body Text"/>
    <w:basedOn w:val="a"/>
    <w:link w:val="a4"/>
    <w:rsid w:val="00182E38"/>
    <w:pPr>
      <w:jc w:val="both"/>
    </w:pPr>
  </w:style>
  <w:style w:type="character" w:customStyle="1" w:styleId="a4">
    <w:name w:val="Основной текст Знак"/>
    <w:basedOn w:val="a0"/>
    <w:link w:val="a3"/>
    <w:rsid w:val="00182E38"/>
    <w:rPr>
      <w:rFonts w:ascii="Times New Roman" w:eastAsia="Times New Roman" w:hAnsi="Times New Roman" w:cs="Times New Roman"/>
      <w:sz w:val="24"/>
      <w:szCs w:val="24"/>
      <w:lang w:eastAsia="ru-RU"/>
    </w:rPr>
  </w:style>
  <w:style w:type="paragraph" w:styleId="a5">
    <w:name w:val="Note Heading"/>
    <w:basedOn w:val="a"/>
    <w:next w:val="a"/>
    <w:link w:val="a6"/>
    <w:uiPriority w:val="99"/>
    <w:unhideWhenUsed/>
    <w:rsid w:val="00182E38"/>
    <w:pPr>
      <w:spacing w:after="60"/>
      <w:jc w:val="both"/>
    </w:pPr>
  </w:style>
  <w:style w:type="character" w:customStyle="1" w:styleId="a6">
    <w:name w:val="Заголовок записки Знак"/>
    <w:basedOn w:val="a0"/>
    <w:link w:val="a5"/>
    <w:uiPriority w:val="99"/>
    <w:rsid w:val="00182E38"/>
    <w:rPr>
      <w:rFonts w:ascii="Times New Roman" w:eastAsia="Times New Roman" w:hAnsi="Times New Roman" w:cs="Times New Roman"/>
      <w:sz w:val="24"/>
      <w:szCs w:val="24"/>
    </w:rPr>
  </w:style>
  <w:style w:type="paragraph" w:customStyle="1" w:styleId="ConsPlusNormal">
    <w:name w:val="ConsPlusNormal"/>
    <w:rsid w:val="0018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82E38"/>
    <w:rPr>
      <w:rFonts w:asciiTheme="majorHAnsi" w:eastAsiaTheme="majorEastAsia" w:hAnsiTheme="majorHAnsi" w:cstheme="majorBidi"/>
      <w:b/>
      <w:bCs/>
      <w:color w:val="365F91" w:themeColor="accent1" w:themeShade="BF"/>
      <w:sz w:val="28"/>
      <w:szCs w:val="28"/>
      <w:lang w:eastAsia="ru-RU"/>
    </w:rPr>
  </w:style>
  <w:style w:type="paragraph" w:customStyle="1" w:styleId="a7">
    <w:name w:val="Таблица текст"/>
    <w:basedOn w:val="a"/>
    <w:rsid w:val="00247DBF"/>
    <w:pPr>
      <w:spacing w:before="40" w:after="40"/>
      <w:ind w:left="57" w:right="57"/>
    </w:pPr>
    <w:rPr>
      <w:sz w:val="22"/>
      <w:szCs w:val="22"/>
    </w:rPr>
  </w:style>
  <w:style w:type="paragraph" w:styleId="a8">
    <w:name w:val="List Paragraph"/>
    <w:basedOn w:val="a"/>
    <w:uiPriority w:val="34"/>
    <w:qFormat/>
    <w:rsid w:val="00247DBF"/>
    <w:pPr>
      <w:ind w:left="720"/>
      <w:contextualSpacing/>
    </w:pPr>
  </w:style>
</w:styles>
</file>

<file path=word/webSettings.xml><?xml version="1.0" encoding="utf-8"?>
<w:webSettings xmlns:r="http://schemas.openxmlformats.org/officeDocument/2006/relationships" xmlns:w="http://schemas.openxmlformats.org/wordprocessingml/2006/main">
  <w:divs>
    <w:div w:id="24604128">
      <w:bodyDiv w:val="1"/>
      <w:marLeft w:val="0"/>
      <w:marRight w:val="0"/>
      <w:marTop w:val="0"/>
      <w:marBottom w:val="0"/>
      <w:divBdr>
        <w:top w:val="none" w:sz="0" w:space="0" w:color="auto"/>
        <w:left w:val="none" w:sz="0" w:space="0" w:color="auto"/>
        <w:bottom w:val="none" w:sz="0" w:space="0" w:color="auto"/>
        <w:right w:val="none" w:sz="0" w:space="0" w:color="auto"/>
      </w:divBdr>
    </w:div>
    <w:div w:id="29496609">
      <w:bodyDiv w:val="1"/>
      <w:marLeft w:val="0"/>
      <w:marRight w:val="0"/>
      <w:marTop w:val="0"/>
      <w:marBottom w:val="0"/>
      <w:divBdr>
        <w:top w:val="none" w:sz="0" w:space="0" w:color="auto"/>
        <w:left w:val="none" w:sz="0" w:space="0" w:color="auto"/>
        <w:bottom w:val="none" w:sz="0" w:space="0" w:color="auto"/>
        <w:right w:val="none" w:sz="0" w:space="0" w:color="auto"/>
      </w:divBdr>
    </w:div>
    <w:div w:id="81681589">
      <w:bodyDiv w:val="1"/>
      <w:marLeft w:val="0"/>
      <w:marRight w:val="0"/>
      <w:marTop w:val="0"/>
      <w:marBottom w:val="0"/>
      <w:divBdr>
        <w:top w:val="none" w:sz="0" w:space="0" w:color="auto"/>
        <w:left w:val="none" w:sz="0" w:space="0" w:color="auto"/>
        <w:bottom w:val="none" w:sz="0" w:space="0" w:color="auto"/>
        <w:right w:val="none" w:sz="0" w:space="0" w:color="auto"/>
      </w:divBdr>
    </w:div>
    <w:div w:id="88282165">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0"/>
          <w:marRight w:val="0"/>
          <w:marTop w:val="0"/>
          <w:marBottom w:val="62"/>
          <w:divBdr>
            <w:top w:val="none" w:sz="0" w:space="0" w:color="auto"/>
            <w:left w:val="none" w:sz="0" w:space="0" w:color="auto"/>
            <w:bottom w:val="none" w:sz="0" w:space="0" w:color="auto"/>
            <w:right w:val="none" w:sz="0" w:space="0" w:color="auto"/>
          </w:divBdr>
        </w:div>
      </w:divsChild>
    </w:div>
    <w:div w:id="177281616">
      <w:bodyDiv w:val="1"/>
      <w:marLeft w:val="0"/>
      <w:marRight w:val="0"/>
      <w:marTop w:val="0"/>
      <w:marBottom w:val="0"/>
      <w:divBdr>
        <w:top w:val="none" w:sz="0" w:space="0" w:color="auto"/>
        <w:left w:val="none" w:sz="0" w:space="0" w:color="auto"/>
        <w:bottom w:val="none" w:sz="0" w:space="0" w:color="auto"/>
        <w:right w:val="none" w:sz="0" w:space="0" w:color="auto"/>
      </w:divBdr>
      <w:divsChild>
        <w:div w:id="1979727376">
          <w:marLeft w:val="0"/>
          <w:marRight w:val="0"/>
          <w:marTop w:val="0"/>
          <w:marBottom w:val="0"/>
          <w:divBdr>
            <w:top w:val="none" w:sz="0" w:space="0" w:color="auto"/>
            <w:left w:val="none" w:sz="0" w:space="0" w:color="auto"/>
            <w:bottom w:val="none" w:sz="0" w:space="0" w:color="auto"/>
            <w:right w:val="none" w:sz="0" w:space="0" w:color="auto"/>
          </w:divBdr>
          <w:divsChild>
            <w:div w:id="989091386">
              <w:marLeft w:val="0"/>
              <w:marRight w:val="0"/>
              <w:marTop w:val="0"/>
              <w:marBottom w:val="0"/>
              <w:divBdr>
                <w:top w:val="none" w:sz="0" w:space="0" w:color="auto"/>
                <w:left w:val="none" w:sz="0" w:space="0" w:color="auto"/>
                <w:bottom w:val="none" w:sz="0" w:space="0" w:color="auto"/>
                <w:right w:val="none" w:sz="0" w:space="0" w:color="auto"/>
              </w:divBdr>
            </w:div>
            <w:div w:id="285622149">
              <w:marLeft w:val="0"/>
              <w:marRight w:val="0"/>
              <w:marTop w:val="0"/>
              <w:marBottom w:val="0"/>
              <w:divBdr>
                <w:top w:val="none" w:sz="0" w:space="0" w:color="auto"/>
                <w:left w:val="none" w:sz="0" w:space="0" w:color="auto"/>
                <w:bottom w:val="none" w:sz="0" w:space="0" w:color="auto"/>
                <w:right w:val="none" w:sz="0" w:space="0" w:color="auto"/>
              </w:divBdr>
            </w:div>
          </w:divsChild>
        </w:div>
        <w:div w:id="139201564">
          <w:marLeft w:val="0"/>
          <w:marRight w:val="0"/>
          <w:marTop w:val="0"/>
          <w:marBottom w:val="0"/>
          <w:divBdr>
            <w:top w:val="none" w:sz="0" w:space="0" w:color="auto"/>
            <w:left w:val="none" w:sz="0" w:space="0" w:color="auto"/>
            <w:bottom w:val="none" w:sz="0" w:space="0" w:color="auto"/>
            <w:right w:val="none" w:sz="0" w:space="0" w:color="auto"/>
          </w:divBdr>
          <w:divsChild>
            <w:div w:id="246115609">
              <w:marLeft w:val="0"/>
              <w:marRight w:val="0"/>
              <w:marTop w:val="0"/>
              <w:marBottom w:val="0"/>
              <w:divBdr>
                <w:top w:val="none" w:sz="0" w:space="0" w:color="auto"/>
                <w:left w:val="none" w:sz="0" w:space="0" w:color="auto"/>
                <w:bottom w:val="none" w:sz="0" w:space="0" w:color="auto"/>
                <w:right w:val="none" w:sz="0" w:space="0" w:color="auto"/>
              </w:divBdr>
            </w:div>
            <w:div w:id="2136092692">
              <w:marLeft w:val="0"/>
              <w:marRight w:val="0"/>
              <w:marTop w:val="0"/>
              <w:marBottom w:val="0"/>
              <w:divBdr>
                <w:top w:val="none" w:sz="0" w:space="0" w:color="auto"/>
                <w:left w:val="none" w:sz="0" w:space="0" w:color="auto"/>
                <w:bottom w:val="none" w:sz="0" w:space="0" w:color="auto"/>
                <w:right w:val="none" w:sz="0" w:space="0" w:color="auto"/>
              </w:divBdr>
            </w:div>
          </w:divsChild>
        </w:div>
        <w:div w:id="1598709236">
          <w:marLeft w:val="0"/>
          <w:marRight w:val="0"/>
          <w:marTop w:val="0"/>
          <w:marBottom w:val="0"/>
          <w:divBdr>
            <w:top w:val="none" w:sz="0" w:space="0" w:color="auto"/>
            <w:left w:val="none" w:sz="0" w:space="0" w:color="auto"/>
            <w:bottom w:val="none" w:sz="0" w:space="0" w:color="auto"/>
            <w:right w:val="none" w:sz="0" w:space="0" w:color="auto"/>
          </w:divBdr>
          <w:divsChild>
            <w:div w:id="381170609">
              <w:marLeft w:val="0"/>
              <w:marRight w:val="0"/>
              <w:marTop w:val="0"/>
              <w:marBottom w:val="0"/>
              <w:divBdr>
                <w:top w:val="none" w:sz="0" w:space="0" w:color="auto"/>
                <w:left w:val="none" w:sz="0" w:space="0" w:color="auto"/>
                <w:bottom w:val="none" w:sz="0" w:space="0" w:color="auto"/>
                <w:right w:val="none" w:sz="0" w:space="0" w:color="auto"/>
              </w:divBdr>
            </w:div>
            <w:div w:id="871261360">
              <w:marLeft w:val="0"/>
              <w:marRight w:val="0"/>
              <w:marTop w:val="0"/>
              <w:marBottom w:val="0"/>
              <w:divBdr>
                <w:top w:val="none" w:sz="0" w:space="0" w:color="auto"/>
                <w:left w:val="none" w:sz="0" w:space="0" w:color="auto"/>
                <w:bottom w:val="none" w:sz="0" w:space="0" w:color="auto"/>
                <w:right w:val="none" w:sz="0" w:space="0" w:color="auto"/>
              </w:divBdr>
            </w:div>
          </w:divsChild>
        </w:div>
        <w:div w:id="1715739610">
          <w:marLeft w:val="0"/>
          <w:marRight w:val="0"/>
          <w:marTop w:val="0"/>
          <w:marBottom w:val="0"/>
          <w:divBdr>
            <w:top w:val="none" w:sz="0" w:space="0" w:color="auto"/>
            <w:left w:val="none" w:sz="0" w:space="0" w:color="auto"/>
            <w:bottom w:val="none" w:sz="0" w:space="0" w:color="auto"/>
            <w:right w:val="none" w:sz="0" w:space="0" w:color="auto"/>
          </w:divBdr>
          <w:divsChild>
            <w:div w:id="253560844">
              <w:marLeft w:val="0"/>
              <w:marRight w:val="0"/>
              <w:marTop w:val="0"/>
              <w:marBottom w:val="0"/>
              <w:divBdr>
                <w:top w:val="none" w:sz="0" w:space="0" w:color="auto"/>
                <w:left w:val="none" w:sz="0" w:space="0" w:color="auto"/>
                <w:bottom w:val="none" w:sz="0" w:space="0" w:color="auto"/>
                <w:right w:val="none" w:sz="0" w:space="0" w:color="auto"/>
              </w:divBdr>
            </w:div>
            <w:div w:id="1155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174">
      <w:bodyDiv w:val="1"/>
      <w:marLeft w:val="0"/>
      <w:marRight w:val="0"/>
      <w:marTop w:val="0"/>
      <w:marBottom w:val="0"/>
      <w:divBdr>
        <w:top w:val="none" w:sz="0" w:space="0" w:color="auto"/>
        <w:left w:val="none" w:sz="0" w:space="0" w:color="auto"/>
        <w:bottom w:val="none" w:sz="0" w:space="0" w:color="auto"/>
        <w:right w:val="none" w:sz="0" w:space="0" w:color="auto"/>
      </w:divBdr>
    </w:div>
    <w:div w:id="406535650">
      <w:bodyDiv w:val="1"/>
      <w:marLeft w:val="0"/>
      <w:marRight w:val="0"/>
      <w:marTop w:val="0"/>
      <w:marBottom w:val="0"/>
      <w:divBdr>
        <w:top w:val="none" w:sz="0" w:space="0" w:color="auto"/>
        <w:left w:val="none" w:sz="0" w:space="0" w:color="auto"/>
        <w:bottom w:val="none" w:sz="0" w:space="0" w:color="auto"/>
        <w:right w:val="none" w:sz="0" w:space="0" w:color="auto"/>
      </w:divBdr>
    </w:div>
    <w:div w:id="419108034">
      <w:bodyDiv w:val="1"/>
      <w:marLeft w:val="0"/>
      <w:marRight w:val="0"/>
      <w:marTop w:val="0"/>
      <w:marBottom w:val="0"/>
      <w:divBdr>
        <w:top w:val="none" w:sz="0" w:space="0" w:color="auto"/>
        <w:left w:val="none" w:sz="0" w:space="0" w:color="auto"/>
        <w:bottom w:val="none" w:sz="0" w:space="0" w:color="auto"/>
        <w:right w:val="none" w:sz="0" w:space="0" w:color="auto"/>
      </w:divBdr>
    </w:div>
    <w:div w:id="447696669">
      <w:bodyDiv w:val="1"/>
      <w:marLeft w:val="0"/>
      <w:marRight w:val="0"/>
      <w:marTop w:val="0"/>
      <w:marBottom w:val="0"/>
      <w:divBdr>
        <w:top w:val="none" w:sz="0" w:space="0" w:color="auto"/>
        <w:left w:val="none" w:sz="0" w:space="0" w:color="auto"/>
        <w:bottom w:val="none" w:sz="0" w:space="0" w:color="auto"/>
        <w:right w:val="none" w:sz="0" w:space="0" w:color="auto"/>
      </w:divBdr>
    </w:div>
    <w:div w:id="447745859">
      <w:bodyDiv w:val="1"/>
      <w:marLeft w:val="0"/>
      <w:marRight w:val="0"/>
      <w:marTop w:val="0"/>
      <w:marBottom w:val="0"/>
      <w:divBdr>
        <w:top w:val="none" w:sz="0" w:space="0" w:color="auto"/>
        <w:left w:val="none" w:sz="0" w:space="0" w:color="auto"/>
        <w:bottom w:val="none" w:sz="0" w:space="0" w:color="auto"/>
        <w:right w:val="none" w:sz="0" w:space="0" w:color="auto"/>
      </w:divBdr>
    </w:div>
    <w:div w:id="496458987">
      <w:bodyDiv w:val="1"/>
      <w:marLeft w:val="0"/>
      <w:marRight w:val="0"/>
      <w:marTop w:val="0"/>
      <w:marBottom w:val="0"/>
      <w:divBdr>
        <w:top w:val="none" w:sz="0" w:space="0" w:color="auto"/>
        <w:left w:val="none" w:sz="0" w:space="0" w:color="auto"/>
        <w:bottom w:val="none" w:sz="0" w:space="0" w:color="auto"/>
        <w:right w:val="none" w:sz="0" w:space="0" w:color="auto"/>
      </w:divBdr>
    </w:div>
    <w:div w:id="582877690">
      <w:bodyDiv w:val="1"/>
      <w:marLeft w:val="0"/>
      <w:marRight w:val="0"/>
      <w:marTop w:val="0"/>
      <w:marBottom w:val="0"/>
      <w:divBdr>
        <w:top w:val="none" w:sz="0" w:space="0" w:color="auto"/>
        <w:left w:val="none" w:sz="0" w:space="0" w:color="auto"/>
        <w:bottom w:val="none" w:sz="0" w:space="0" w:color="auto"/>
        <w:right w:val="none" w:sz="0" w:space="0" w:color="auto"/>
      </w:divBdr>
      <w:divsChild>
        <w:div w:id="870848309">
          <w:marLeft w:val="0"/>
          <w:marRight w:val="0"/>
          <w:marTop w:val="0"/>
          <w:marBottom w:val="0"/>
          <w:divBdr>
            <w:top w:val="none" w:sz="0" w:space="0" w:color="auto"/>
            <w:left w:val="none" w:sz="0" w:space="0" w:color="auto"/>
            <w:bottom w:val="none" w:sz="0" w:space="0" w:color="auto"/>
            <w:right w:val="none" w:sz="0" w:space="0" w:color="auto"/>
          </w:divBdr>
          <w:divsChild>
            <w:div w:id="1790709419">
              <w:marLeft w:val="0"/>
              <w:marRight w:val="0"/>
              <w:marTop w:val="0"/>
              <w:marBottom w:val="0"/>
              <w:divBdr>
                <w:top w:val="none" w:sz="0" w:space="0" w:color="auto"/>
                <w:left w:val="none" w:sz="0" w:space="0" w:color="auto"/>
                <w:bottom w:val="none" w:sz="0" w:space="0" w:color="auto"/>
                <w:right w:val="none" w:sz="0" w:space="0" w:color="auto"/>
              </w:divBdr>
            </w:div>
            <w:div w:id="1065835361">
              <w:marLeft w:val="0"/>
              <w:marRight w:val="0"/>
              <w:marTop w:val="0"/>
              <w:marBottom w:val="0"/>
              <w:divBdr>
                <w:top w:val="none" w:sz="0" w:space="0" w:color="auto"/>
                <w:left w:val="none" w:sz="0" w:space="0" w:color="auto"/>
                <w:bottom w:val="none" w:sz="0" w:space="0" w:color="auto"/>
                <w:right w:val="none" w:sz="0" w:space="0" w:color="auto"/>
              </w:divBdr>
            </w:div>
          </w:divsChild>
        </w:div>
        <w:div w:id="1162357520">
          <w:marLeft w:val="0"/>
          <w:marRight w:val="0"/>
          <w:marTop w:val="0"/>
          <w:marBottom w:val="0"/>
          <w:divBdr>
            <w:top w:val="none" w:sz="0" w:space="0" w:color="auto"/>
            <w:left w:val="none" w:sz="0" w:space="0" w:color="auto"/>
            <w:bottom w:val="none" w:sz="0" w:space="0" w:color="auto"/>
            <w:right w:val="none" w:sz="0" w:space="0" w:color="auto"/>
          </w:divBdr>
          <w:divsChild>
            <w:div w:id="1785688565">
              <w:marLeft w:val="0"/>
              <w:marRight w:val="0"/>
              <w:marTop w:val="0"/>
              <w:marBottom w:val="0"/>
              <w:divBdr>
                <w:top w:val="none" w:sz="0" w:space="0" w:color="auto"/>
                <w:left w:val="none" w:sz="0" w:space="0" w:color="auto"/>
                <w:bottom w:val="none" w:sz="0" w:space="0" w:color="auto"/>
                <w:right w:val="none" w:sz="0" w:space="0" w:color="auto"/>
              </w:divBdr>
            </w:div>
            <w:div w:id="1556041432">
              <w:marLeft w:val="0"/>
              <w:marRight w:val="0"/>
              <w:marTop w:val="0"/>
              <w:marBottom w:val="0"/>
              <w:divBdr>
                <w:top w:val="none" w:sz="0" w:space="0" w:color="auto"/>
                <w:left w:val="none" w:sz="0" w:space="0" w:color="auto"/>
                <w:bottom w:val="none" w:sz="0" w:space="0" w:color="auto"/>
                <w:right w:val="none" w:sz="0" w:space="0" w:color="auto"/>
              </w:divBdr>
            </w:div>
          </w:divsChild>
        </w:div>
        <w:div w:id="1456680922">
          <w:marLeft w:val="0"/>
          <w:marRight w:val="0"/>
          <w:marTop w:val="0"/>
          <w:marBottom w:val="0"/>
          <w:divBdr>
            <w:top w:val="none" w:sz="0" w:space="0" w:color="auto"/>
            <w:left w:val="none" w:sz="0" w:space="0" w:color="auto"/>
            <w:bottom w:val="none" w:sz="0" w:space="0" w:color="auto"/>
            <w:right w:val="none" w:sz="0" w:space="0" w:color="auto"/>
          </w:divBdr>
          <w:divsChild>
            <w:div w:id="337388147">
              <w:marLeft w:val="0"/>
              <w:marRight w:val="0"/>
              <w:marTop w:val="0"/>
              <w:marBottom w:val="0"/>
              <w:divBdr>
                <w:top w:val="none" w:sz="0" w:space="0" w:color="auto"/>
                <w:left w:val="none" w:sz="0" w:space="0" w:color="auto"/>
                <w:bottom w:val="none" w:sz="0" w:space="0" w:color="auto"/>
                <w:right w:val="none" w:sz="0" w:space="0" w:color="auto"/>
              </w:divBdr>
            </w:div>
            <w:div w:id="647173200">
              <w:marLeft w:val="0"/>
              <w:marRight w:val="0"/>
              <w:marTop w:val="0"/>
              <w:marBottom w:val="0"/>
              <w:divBdr>
                <w:top w:val="none" w:sz="0" w:space="0" w:color="auto"/>
                <w:left w:val="none" w:sz="0" w:space="0" w:color="auto"/>
                <w:bottom w:val="none" w:sz="0" w:space="0" w:color="auto"/>
                <w:right w:val="none" w:sz="0" w:space="0" w:color="auto"/>
              </w:divBdr>
            </w:div>
          </w:divsChild>
        </w:div>
        <w:div w:id="232013022">
          <w:marLeft w:val="0"/>
          <w:marRight w:val="0"/>
          <w:marTop w:val="0"/>
          <w:marBottom w:val="0"/>
          <w:divBdr>
            <w:top w:val="none" w:sz="0" w:space="0" w:color="auto"/>
            <w:left w:val="none" w:sz="0" w:space="0" w:color="auto"/>
            <w:bottom w:val="none" w:sz="0" w:space="0" w:color="auto"/>
            <w:right w:val="none" w:sz="0" w:space="0" w:color="auto"/>
          </w:divBdr>
          <w:divsChild>
            <w:div w:id="1471094444">
              <w:marLeft w:val="0"/>
              <w:marRight w:val="0"/>
              <w:marTop w:val="0"/>
              <w:marBottom w:val="0"/>
              <w:divBdr>
                <w:top w:val="none" w:sz="0" w:space="0" w:color="auto"/>
                <w:left w:val="none" w:sz="0" w:space="0" w:color="auto"/>
                <w:bottom w:val="none" w:sz="0" w:space="0" w:color="auto"/>
                <w:right w:val="none" w:sz="0" w:space="0" w:color="auto"/>
              </w:divBdr>
            </w:div>
            <w:div w:id="8907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083">
      <w:bodyDiv w:val="1"/>
      <w:marLeft w:val="0"/>
      <w:marRight w:val="0"/>
      <w:marTop w:val="0"/>
      <w:marBottom w:val="0"/>
      <w:divBdr>
        <w:top w:val="none" w:sz="0" w:space="0" w:color="auto"/>
        <w:left w:val="none" w:sz="0" w:space="0" w:color="auto"/>
        <w:bottom w:val="none" w:sz="0" w:space="0" w:color="auto"/>
        <w:right w:val="none" w:sz="0" w:space="0" w:color="auto"/>
      </w:divBdr>
    </w:div>
    <w:div w:id="609437758">
      <w:bodyDiv w:val="1"/>
      <w:marLeft w:val="0"/>
      <w:marRight w:val="0"/>
      <w:marTop w:val="0"/>
      <w:marBottom w:val="0"/>
      <w:divBdr>
        <w:top w:val="none" w:sz="0" w:space="0" w:color="auto"/>
        <w:left w:val="none" w:sz="0" w:space="0" w:color="auto"/>
        <w:bottom w:val="none" w:sz="0" w:space="0" w:color="auto"/>
        <w:right w:val="none" w:sz="0" w:space="0" w:color="auto"/>
      </w:divBdr>
    </w:div>
    <w:div w:id="669020398">
      <w:bodyDiv w:val="1"/>
      <w:marLeft w:val="0"/>
      <w:marRight w:val="0"/>
      <w:marTop w:val="0"/>
      <w:marBottom w:val="0"/>
      <w:divBdr>
        <w:top w:val="none" w:sz="0" w:space="0" w:color="auto"/>
        <w:left w:val="none" w:sz="0" w:space="0" w:color="auto"/>
        <w:bottom w:val="none" w:sz="0" w:space="0" w:color="auto"/>
        <w:right w:val="none" w:sz="0" w:space="0" w:color="auto"/>
      </w:divBdr>
      <w:divsChild>
        <w:div w:id="1106849881">
          <w:marLeft w:val="0"/>
          <w:marRight w:val="372"/>
          <w:marTop w:val="0"/>
          <w:marBottom w:val="0"/>
          <w:divBdr>
            <w:top w:val="none" w:sz="0" w:space="0" w:color="auto"/>
            <w:left w:val="none" w:sz="0" w:space="0" w:color="auto"/>
            <w:bottom w:val="none" w:sz="0" w:space="0" w:color="auto"/>
            <w:right w:val="none" w:sz="0" w:space="0" w:color="auto"/>
          </w:divBdr>
        </w:div>
        <w:div w:id="1308902979">
          <w:marLeft w:val="0"/>
          <w:marRight w:val="372"/>
          <w:marTop w:val="0"/>
          <w:marBottom w:val="0"/>
          <w:divBdr>
            <w:top w:val="none" w:sz="0" w:space="0" w:color="auto"/>
            <w:left w:val="none" w:sz="0" w:space="0" w:color="auto"/>
            <w:bottom w:val="none" w:sz="0" w:space="0" w:color="auto"/>
            <w:right w:val="none" w:sz="0" w:space="0" w:color="auto"/>
          </w:divBdr>
        </w:div>
      </w:divsChild>
    </w:div>
    <w:div w:id="757361276">
      <w:bodyDiv w:val="1"/>
      <w:marLeft w:val="0"/>
      <w:marRight w:val="0"/>
      <w:marTop w:val="0"/>
      <w:marBottom w:val="0"/>
      <w:divBdr>
        <w:top w:val="none" w:sz="0" w:space="0" w:color="auto"/>
        <w:left w:val="none" w:sz="0" w:space="0" w:color="auto"/>
        <w:bottom w:val="none" w:sz="0" w:space="0" w:color="auto"/>
        <w:right w:val="none" w:sz="0" w:space="0" w:color="auto"/>
      </w:divBdr>
      <w:divsChild>
        <w:div w:id="1785921875">
          <w:marLeft w:val="0"/>
          <w:marRight w:val="372"/>
          <w:marTop w:val="0"/>
          <w:marBottom w:val="0"/>
          <w:divBdr>
            <w:top w:val="none" w:sz="0" w:space="0" w:color="auto"/>
            <w:left w:val="none" w:sz="0" w:space="0" w:color="auto"/>
            <w:bottom w:val="none" w:sz="0" w:space="0" w:color="auto"/>
            <w:right w:val="none" w:sz="0" w:space="0" w:color="auto"/>
          </w:divBdr>
        </w:div>
        <w:div w:id="1687705624">
          <w:marLeft w:val="0"/>
          <w:marRight w:val="372"/>
          <w:marTop w:val="0"/>
          <w:marBottom w:val="0"/>
          <w:divBdr>
            <w:top w:val="none" w:sz="0" w:space="0" w:color="auto"/>
            <w:left w:val="none" w:sz="0" w:space="0" w:color="auto"/>
            <w:bottom w:val="none" w:sz="0" w:space="0" w:color="auto"/>
            <w:right w:val="none" w:sz="0" w:space="0" w:color="auto"/>
          </w:divBdr>
        </w:div>
      </w:divsChild>
    </w:div>
    <w:div w:id="789590957">
      <w:bodyDiv w:val="1"/>
      <w:marLeft w:val="0"/>
      <w:marRight w:val="0"/>
      <w:marTop w:val="0"/>
      <w:marBottom w:val="0"/>
      <w:divBdr>
        <w:top w:val="none" w:sz="0" w:space="0" w:color="auto"/>
        <w:left w:val="none" w:sz="0" w:space="0" w:color="auto"/>
        <w:bottom w:val="none" w:sz="0" w:space="0" w:color="auto"/>
        <w:right w:val="none" w:sz="0" w:space="0" w:color="auto"/>
      </w:divBdr>
    </w:div>
    <w:div w:id="824858116">
      <w:bodyDiv w:val="1"/>
      <w:marLeft w:val="0"/>
      <w:marRight w:val="0"/>
      <w:marTop w:val="0"/>
      <w:marBottom w:val="0"/>
      <w:divBdr>
        <w:top w:val="none" w:sz="0" w:space="0" w:color="auto"/>
        <w:left w:val="none" w:sz="0" w:space="0" w:color="auto"/>
        <w:bottom w:val="none" w:sz="0" w:space="0" w:color="auto"/>
        <w:right w:val="none" w:sz="0" w:space="0" w:color="auto"/>
      </w:divBdr>
    </w:div>
    <w:div w:id="895042290">
      <w:bodyDiv w:val="1"/>
      <w:marLeft w:val="0"/>
      <w:marRight w:val="0"/>
      <w:marTop w:val="0"/>
      <w:marBottom w:val="0"/>
      <w:divBdr>
        <w:top w:val="none" w:sz="0" w:space="0" w:color="auto"/>
        <w:left w:val="none" w:sz="0" w:space="0" w:color="auto"/>
        <w:bottom w:val="none" w:sz="0" w:space="0" w:color="auto"/>
        <w:right w:val="none" w:sz="0" w:space="0" w:color="auto"/>
      </w:divBdr>
    </w:div>
    <w:div w:id="984164262">
      <w:bodyDiv w:val="1"/>
      <w:marLeft w:val="0"/>
      <w:marRight w:val="0"/>
      <w:marTop w:val="0"/>
      <w:marBottom w:val="0"/>
      <w:divBdr>
        <w:top w:val="none" w:sz="0" w:space="0" w:color="auto"/>
        <w:left w:val="none" w:sz="0" w:space="0" w:color="auto"/>
        <w:bottom w:val="none" w:sz="0" w:space="0" w:color="auto"/>
        <w:right w:val="none" w:sz="0" w:space="0" w:color="auto"/>
      </w:divBdr>
    </w:div>
    <w:div w:id="1077821397">
      <w:bodyDiv w:val="1"/>
      <w:marLeft w:val="0"/>
      <w:marRight w:val="0"/>
      <w:marTop w:val="0"/>
      <w:marBottom w:val="0"/>
      <w:divBdr>
        <w:top w:val="none" w:sz="0" w:space="0" w:color="auto"/>
        <w:left w:val="none" w:sz="0" w:space="0" w:color="auto"/>
        <w:bottom w:val="none" w:sz="0" w:space="0" w:color="auto"/>
        <w:right w:val="none" w:sz="0" w:space="0" w:color="auto"/>
      </w:divBdr>
    </w:div>
    <w:div w:id="1431002955">
      <w:bodyDiv w:val="1"/>
      <w:marLeft w:val="0"/>
      <w:marRight w:val="0"/>
      <w:marTop w:val="0"/>
      <w:marBottom w:val="0"/>
      <w:divBdr>
        <w:top w:val="none" w:sz="0" w:space="0" w:color="auto"/>
        <w:left w:val="none" w:sz="0" w:space="0" w:color="auto"/>
        <w:bottom w:val="none" w:sz="0" w:space="0" w:color="auto"/>
        <w:right w:val="none" w:sz="0" w:space="0" w:color="auto"/>
      </w:divBdr>
    </w:div>
    <w:div w:id="1460759448">
      <w:bodyDiv w:val="1"/>
      <w:marLeft w:val="0"/>
      <w:marRight w:val="0"/>
      <w:marTop w:val="0"/>
      <w:marBottom w:val="0"/>
      <w:divBdr>
        <w:top w:val="none" w:sz="0" w:space="0" w:color="auto"/>
        <w:left w:val="none" w:sz="0" w:space="0" w:color="auto"/>
        <w:bottom w:val="none" w:sz="0" w:space="0" w:color="auto"/>
        <w:right w:val="none" w:sz="0" w:space="0" w:color="auto"/>
      </w:divBdr>
    </w:div>
    <w:div w:id="1462502063">
      <w:bodyDiv w:val="1"/>
      <w:marLeft w:val="0"/>
      <w:marRight w:val="0"/>
      <w:marTop w:val="0"/>
      <w:marBottom w:val="0"/>
      <w:divBdr>
        <w:top w:val="none" w:sz="0" w:space="0" w:color="auto"/>
        <w:left w:val="none" w:sz="0" w:space="0" w:color="auto"/>
        <w:bottom w:val="none" w:sz="0" w:space="0" w:color="auto"/>
        <w:right w:val="none" w:sz="0" w:space="0" w:color="auto"/>
      </w:divBdr>
    </w:div>
    <w:div w:id="1470056183">
      <w:bodyDiv w:val="1"/>
      <w:marLeft w:val="0"/>
      <w:marRight w:val="0"/>
      <w:marTop w:val="0"/>
      <w:marBottom w:val="0"/>
      <w:divBdr>
        <w:top w:val="none" w:sz="0" w:space="0" w:color="auto"/>
        <w:left w:val="none" w:sz="0" w:space="0" w:color="auto"/>
        <w:bottom w:val="none" w:sz="0" w:space="0" w:color="auto"/>
        <w:right w:val="none" w:sz="0" w:space="0" w:color="auto"/>
      </w:divBdr>
    </w:div>
    <w:div w:id="1471167989">
      <w:bodyDiv w:val="1"/>
      <w:marLeft w:val="0"/>
      <w:marRight w:val="0"/>
      <w:marTop w:val="0"/>
      <w:marBottom w:val="0"/>
      <w:divBdr>
        <w:top w:val="none" w:sz="0" w:space="0" w:color="auto"/>
        <w:left w:val="none" w:sz="0" w:space="0" w:color="auto"/>
        <w:bottom w:val="none" w:sz="0" w:space="0" w:color="auto"/>
        <w:right w:val="none" w:sz="0" w:space="0" w:color="auto"/>
      </w:divBdr>
    </w:div>
    <w:div w:id="1485047653">
      <w:bodyDiv w:val="1"/>
      <w:marLeft w:val="0"/>
      <w:marRight w:val="0"/>
      <w:marTop w:val="0"/>
      <w:marBottom w:val="0"/>
      <w:divBdr>
        <w:top w:val="none" w:sz="0" w:space="0" w:color="auto"/>
        <w:left w:val="none" w:sz="0" w:space="0" w:color="auto"/>
        <w:bottom w:val="none" w:sz="0" w:space="0" w:color="auto"/>
        <w:right w:val="none" w:sz="0" w:space="0" w:color="auto"/>
      </w:divBdr>
    </w:div>
    <w:div w:id="1485898554">
      <w:bodyDiv w:val="1"/>
      <w:marLeft w:val="0"/>
      <w:marRight w:val="0"/>
      <w:marTop w:val="0"/>
      <w:marBottom w:val="0"/>
      <w:divBdr>
        <w:top w:val="none" w:sz="0" w:space="0" w:color="auto"/>
        <w:left w:val="none" w:sz="0" w:space="0" w:color="auto"/>
        <w:bottom w:val="none" w:sz="0" w:space="0" w:color="auto"/>
        <w:right w:val="none" w:sz="0" w:space="0" w:color="auto"/>
      </w:divBdr>
    </w:div>
    <w:div w:id="1727678128">
      <w:bodyDiv w:val="1"/>
      <w:marLeft w:val="0"/>
      <w:marRight w:val="0"/>
      <w:marTop w:val="0"/>
      <w:marBottom w:val="0"/>
      <w:divBdr>
        <w:top w:val="none" w:sz="0" w:space="0" w:color="auto"/>
        <w:left w:val="none" w:sz="0" w:space="0" w:color="auto"/>
        <w:bottom w:val="none" w:sz="0" w:space="0" w:color="auto"/>
        <w:right w:val="none" w:sz="0" w:space="0" w:color="auto"/>
      </w:divBdr>
    </w:div>
    <w:div w:id="1779643214">
      <w:bodyDiv w:val="1"/>
      <w:marLeft w:val="0"/>
      <w:marRight w:val="0"/>
      <w:marTop w:val="0"/>
      <w:marBottom w:val="0"/>
      <w:divBdr>
        <w:top w:val="none" w:sz="0" w:space="0" w:color="auto"/>
        <w:left w:val="none" w:sz="0" w:space="0" w:color="auto"/>
        <w:bottom w:val="none" w:sz="0" w:space="0" w:color="auto"/>
        <w:right w:val="none" w:sz="0" w:space="0" w:color="auto"/>
      </w:divBdr>
    </w:div>
    <w:div w:id="1870606544">
      <w:bodyDiv w:val="1"/>
      <w:marLeft w:val="0"/>
      <w:marRight w:val="0"/>
      <w:marTop w:val="0"/>
      <w:marBottom w:val="0"/>
      <w:divBdr>
        <w:top w:val="none" w:sz="0" w:space="0" w:color="auto"/>
        <w:left w:val="none" w:sz="0" w:space="0" w:color="auto"/>
        <w:bottom w:val="none" w:sz="0" w:space="0" w:color="auto"/>
        <w:right w:val="none" w:sz="0" w:space="0" w:color="auto"/>
      </w:divBdr>
    </w:div>
    <w:div w:id="1916082864">
      <w:bodyDiv w:val="1"/>
      <w:marLeft w:val="0"/>
      <w:marRight w:val="0"/>
      <w:marTop w:val="0"/>
      <w:marBottom w:val="0"/>
      <w:divBdr>
        <w:top w:val="none" w:sz="0" w:space="0" w:color="auto"/>
        <w:left w:val="none" w:sz="0" w:space="0" w:color="auto"/>
        <w:bottom w:val="none" w:sz="0" w:space="0" w:color="auto"/>
        <w:right w:val="none" w:sz="0" w:space="0" w:color="auto"/>
      </w:divBdr>
    </w:div>
    <w:div w:id="1965696949">
      <w:bodyDiv w:val="1"/>
      <w:marLeft w:val="0"/>
      <w:marRight w:val="0"/>
      <w:marTop w:val="0"/>
      <w:marBottom w:val="0"/>
      <w:divBdr>
        <w:top w:val="none" w:sz="0" w:space="0" w:color="auto"/>
        <w:left w:val="none" w:sz="0" w:space="0" w:color="auto"/>
        <w:bottom w:val="none" w:sz="0" w:space="0" w:color="auto"/>
        <w:right w:val="none" w:sz="0" w:space="0" w:color="auto"/>
      </w:divBdr>
    </w:div>
    <w:div w:id="2005280699">
      <w:bodyDiv w:val="1"/>
      <w:marLeft w:val="0"/>
      <w:marRight w:val="0"/>
      <w:marTop w:val="0"/>
      <w:marBottom w:val="0"/>
      <w:divBdr>
        <w:top w:val="none" w:sz="0" w:space="0" w:color="auto"/>
        <w:left w:val="none" w:sz="0" w:space="0" w:color="auto"/>
        <w:bottom w:val="none" w:sz="0" w:space="0" w:color="auto"/>
        <w:right w:val="none" w:sz="0" w:space="0" w:color="auto"/>
      </w:divBdr>
    </w:div>
    <w:div w:id="2031713136">
      <w:bodyDiv w:val="1"/>
      <w:marLeft w:val="0"/>
      <w:marRight w:val="0"/>
      <w:marTop w:val="0"/>
      <w:marBottom w:val="0"/>
      <w:divBdr>
        <w:top w:val="none" w:sz="0" w:space="0" w:color="auto"/>
        <w:left w:val="none" w:sz="0" w:space="0" w:color="auto"/>
        <w:bottom w:val="none" w:sz="0" w:space="0" w:color="auto"/>
        <w:right w:val="none" w:sz="0" w:space="0" w:color="auto"/>
      </w:divBdr>
    </w:div>
    <w:div w:id="2092047442">
      <w:bodyDiv w:val="1"/>
      <w:marLeft w:val="0"/>
      <w:marRight w:val="0"/>
      <w:marTop w:val="0"/>
      <w:marBottom w:val="0"/>
      <w:divBdr>
        <w:top w:val="none" w:sz="0" w:space="0" w:color="auto"/>
        <w:left w:val="none" w:sz="0" w:space="0" w:color="auto"/>
        <w:bottom w:val="none" w:sz="0" w:space="0" w:color="auto"/>
        <w:right w:val="none" w:sz="0" w:space="0" w:color="auto"/>
      </w:divBdr>
    </w:div>
    <w:div w:id="21262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D990-F93D-47BF-9159-896E47E1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Экономист</cp:lastModifiedBy>
  <cp:revision>43</cp:revision>
  <cp:lastPrinted>2019-08-30T06:30:00Z</cp:lastPrinted>
  <dcterms:created xsi:type="dcterms:W3CDTF">2019-01-25T05:46:00Z</dcterms:created>
  <dcterms:modified xsi:type="dcterms:W3CDTF">2019-09-10T10:58:00Z</dcterms:modified>
</cp:coreProperties>
</file>