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F636E3">
        <w:rPr>
          <w:rFonts w:ascii="Times New Roman" w:hAnsi="Times New Roman" w:cs="Times New Roman"/>
          <w:b/>
          <w:bCs/>
          <w:sz w:val="28"/>
          <w:szCs w:val="28"/>
        </w:rPr>
        <w:t>печатной и бланочной продукции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F636E3">
        <w:rPr>
          <w:rFonts w:ascii="Times New Roman" w:hAnsi="Times New Roman" w:cs="Times New Roman"/>
          <w:bCs/>
        </w:rPr>
        <w:t>печатной и бланочной продукции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5300"/>
        <w:gridCol w:w="1610"/>
        <w:gridCol w:w="1631"/>
      </w:tblGrid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Операционный журнал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Лист назначений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Лист обследования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Бланк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направ-ие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медико-социальную экспертизу форма № 088/у-06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Справка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Ж-л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рег-ии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котировочных заявок на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правозакл</w:t>
            </w:r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оговоров</w:t>
            </w:r>
            <w:proofErr w:type="spellEnd"/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Ж-л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рег-ии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протоколов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</w:t>
            </w:r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диной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кон-ой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комиссии по закупам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взятия крови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взятия крови на РВ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записи вызовов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</w:t>
            </w:r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еотл.мед.помощи</w:t>
            </w:r>
            <w:proofErr w:type="spellEnd"/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записи вызовов скорой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омощи</w:t>
            </w:r>
            <w:proofErr w:type="spellEnd"/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Здоровье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комплексного тех</w:t>
            </w:r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бслуживания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предвар-ой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записи посещений помещения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озноком-ия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медицинской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док-ей</w:t>
            </w:r>
            <w:proofErr w:type="spellEnd"/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предметно-коллич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учета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работы стерилизаторов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воздушного</w:t>
            </w:r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арового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(автоклава)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регистрации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регистрации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</w:t>
            </w:r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регистрации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</w:t>
            </w:r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вяз-ых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оборотом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нарк.ср.и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психотр.веществ</w:t>
            </w:r>
            <w:proofErr w:type="spellEnd"/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учета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операций</w:t>
            </w:r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вяз.с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обращ.лекар.ср-тв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мед.применения</w:t>
            </w:r>
            <w:proofErr w:type="spellEnd"/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первичных больных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учета получения и расхода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дезинфиц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ср-в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объектах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проф</w:t>
            </w:r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рививок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работы помещений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карта беременной и родильницы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карта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предрейс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смотров</w:t>
            </w:r>
            <w:proofErr w:type="spellEnd"/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развития ребенка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профилактических прививок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 профилактического осмотра </w:t>
            </w: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несовершеннолетнего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профилактического осмотра несовершеннолетнего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 регистрации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 учета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карта диспансерного  больного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карта диспансерного наблюдения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медицинская карта Ф АКУ-23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амбулаторного больного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стационарного больного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Операционный журнал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врачебного участка (педиатрического)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Ренгенофлюрограф</w:t>
            </w:r>
            <w:proofErr w:type="spellEnd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карта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лекарственных средствах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о профилактических прививках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Температурный лист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36E3" w:rsidRPr="00F636E3" w:rsidTr="00F636E3">
        <w:trPr>
          <w:trHeight w:val="300"/>
        </w:trPr>
        <w:tc>
          <w:tcPr>
            <w:tcW w:w="538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769" w:type="pct"/>
            <w:shd w:val="clear" w:color="auto" w:fill="auto"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 журнал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F636E3" w:rsidRPr="00F636E3" w:rsidRDefault="00F636E3" w:rsidP="00F6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3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079BC"/>
    <w:rsid w:val="002E72D8"/>
    <w:rsid w:val="00377B1F"/>
    <w:rsid w:val="003D6073"/>
    <w:rsid w:val="003E661F"/>
    <w:rsid w:val="003E7421"/>
    <w:rsid w:val="0041618A"/>
    <w:rsid w:val="004522AE"/>
    <w:rsid w:val="00453960"/>
    <w:rsid w:val="00521B79"/>
    <w:rsid w:val="005E72F5"/>
    <w:rsid w:val="007C4E67"/>
    <w:rsid w:val="008D26AF"/>
    <w:rsid w:val="008E68A8"/>
    <w:rsid w:val="00AE386F"/>
    <w:rsid w:val="00B23C8E"/>
    <w:rsid w:val="00B551AD"/>
    <w:rsid w:val="00B85351"/>
    <w:rsid w:val="00B9075F"/>
    <w:rsid w:val="00BA2F45"/>
    <w:rsid w:val="00CE66B0"/>
    <w:rsid w:val="00D24EFD"/>
    <w:rsid w:val="00D9128B"/>
    <w:rsid w:val="00DB03C4"/>
    <w:rsid w:val="00DC6CEE"/>
    <w:rsid w:val="00E8120A"/>
    <w:rsid w:val="00ED644A"/>
    <w:rsid w:val="00F255EC"/>
    <w:rsid w:val="00F636E3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12</cp:revision>
  <dcterms:created xsi:type="dcterms:W3CDTF">2019-03-18T07:21:00Z</dcterms:created>
  <dcterms:modified xsi:type="dcterms:W3CDTF">2019-06-17T05:58:00Z</dcterms:modified>
</cp:coreProperties>
</file>